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B7" w:rsidRPr="00403D5D" w:rsidRDefault="00627F71" w:rsidP="00627F71">
      <w:pPr>
        <w:jc w:val="center"/>
        <w:rPr>
          <w:b/>
          <w:noProof/>
          <w:sz w:val="28"/>
          <w:szCs w:val="28"/>
        </w:rPr>
      </w:pPr>
      <w:r w:rsidRPr="00403D5D">
        <w:rPr>
          <w:b/>
          <w:noProof/>
          <w:sz w:val="28"/>
          <w:szCs w:val="28"/>
        </w:rPr>
        <w:t>Zadávací dokumentace k</w:t>
      </w:r>
      <w:r w:rsidR="009102CB">
        <w:rPr>
          <w:b/>
          <w:noProof/>
          <w:sz w:val="28"/>
          <w:szCs w:val="28"/>
        </w:rPr>
        <w:t> výběrovému řízení, zakázce</w:t>
      </w:r>
      <w:r w:rsidR="0086472C">
        <w:rPr>
          <w:b/>
          <w:noProof/>
          <w:sz w:val="28"/>
          <w:szCs w:val="28"/>
        </w:rPr>
        <w:t xml:space="preserve"> </w:t>
      </w:r>
    </w:p>
    <w:p w:rsidR="00AF26B7" w:rsidRDefault="00AF26B7">
      <w:pPr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986"/>
      </w:tblGrid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Číslo </w:t>
            </w:r>
            <w:r w:rsidR="005D6421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8E656D" w:rsidP="00CC5411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123/15</w:t>
            </w:r>
            <w:r w:rsidR="00627F71" w:rsidRPr="00FD4B33">
              <w:rPr>
                <w:sz w:val="20"/>
              </w:rPr>
              <w:t>/OCN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Název </w:t>
            </w:r>
            <w:r w:rsidR="009102CB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CC5411" w:rsidP="00D45EDD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 xml:space="preserve">Rámcová smlouva – </w:t>
            </w:r>
            <w:r w:rsidR="008E656D" w:rsidRPr="008E656D">
              <w:rPr>
                <w:sz w:val="20"/>
              </w:rPr>
              <w:t>Čištění, servis a opravy kanalizace včetně likvidace kalů</w:t>
            </w:r>
            <w:r w:rsidR="00AB4257">
              <w:rPr>
                <w:sz w:val="20"/>
              </w:rPr>
              <w:t xml:space="preserve"> na skladech ČEPRO, a.s.</w:t>
            </w:r>
            <w:r w:rsidR="001E5253">
              <w:rPr>
                <w:sz w:val="20"/>
              </w:rPr>
              <w:t xml:space="preserve"> 2015 - 2019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Předmět zakázky (služb</w:t>
            </w:r>
            <w:r w:rsidR="00E10099">
              <w:rPr>
                <w:sz w:val="22"/>
                <w:szCs w:val="22"/>
              </w:rPr>
              <w:t>y</w:t>
            </w:r>
            <w:r w:rsidRPr="009B757C">
              <w:rPr>
                <w:sz w:val="22"/>
                <w:szCs w:val="22"/>
              </w:rPr>
              <w:t>, dodávka nebo stavební práce)</w:t>
            </w:r>
          </w:p>
        </w:tc>
        <w:tc>
          <w:tcPr>
            <w:tcW w:w="5986" w:type="dxa"/>
            <w:vAlign w:val="center"/>
          </w:tcPr>
          <w:p w:rsidR="00627F71" w:rsidRPr="009B757C" w:rsidRDefault="00F31742" w:rsidP="005D642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služby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Druh výběrového řízení</w:t>
            </w:r>
          </w:p>
        </w:tc>
        <w:tc>
          <w:tcPr>
            <w:tcW w:w="5986" w:type="dxa"/>
            <w:vAlign w:val="center"/>
          </w:tcPr>
          <w:p w:rsidR="00FD4B33" w:rsidRPr="009B757C" w:rsidRDefault="00FD4B33" w:rsidP="005D6421">
            <w:pPr>
              <w:pStyle w:val="Hlavnnadpis"/>
              <w:jc w:val="left"/>
              <w:rPr>
                <w:b w:val="0"/>
                <w:sz w:val="20"/>
              </w:rPr>
            </w:pPr>
            <w:r w:rsidRPr="009B757C">
              <w:rPr>
                <w:b w:val="0"/>
                <w:sz w:val="20"/>
              </w:rPr>
              <w:t>Zakázka malého rozsahu</w:t>
            </w:r>
            <w:r w:rsidR="004C66E9">
              <w:rPr>
                <w:b w:val="0"/>
                <w:sz w:val="20"/>
              </w:rPr>
              <w:t>, rámcová smlouva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621965" w:rsidRDefault="00627F71" w:rsidP="00621965">
            <w:pPr>
              <w:spacing w:before="60" w:after="60"/>
              <w:jc w:val="left"/>
              <w:rPr>
                <w:b/>
                <w:sz w:val="22"/>
                <w:szCs w:val="22"/>
              </w:rPr>
            </w:pPr>
            <w:r w:rsidRPr="009B757C">
              <w:rPr>
                <w:b/>
                <w:sz w:val="22"/>
                <w:szCs w:val="22"/>
              </w:rPr>
              <w:t xml:space="preserve">Datum vyhlášení </w:t>
            </w:r>
            <w:r w:rsidR="00002754">
              <w:rPr>
                <w:b/>
                <w:sz w:val="22"/>
                <w:szCs w:val="22"/>
              </w:rPr>
              <w:t>VŘ</w:t>
            </w:r>
          </w:p>
        </w:tc>
        <w:tc>
          <w:tcPr>
            <w:tcW w:w="5986" w:type="dxa"/>
            <w:vAlign w:val="center"/>
          </w:tcPr>
          <w:p w:rsidR="00627F71" w:rsidRPr="009B757C" w:rsidRDefault="009B00BA" w:rsidP="00403D5D">
            <w:pPr>
              <w:pStyle w:val="Hlavnnadpis"/>
              <w:ind w:left="3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19. 5. 2015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Zadavatel:</w:t>
            </w:r>
          </w:p>
        </w:tc>
        <w:tc>
          <w:tcPr>
            <w:tcW w:w="5986" w:type="dxa"/>
            <w:vAlign w:val="center"/>
          </w:tcPr>
          <w:p w:rsidR="00627F71" w:rsidRPr="00FD4B33" w:rsidRDefault="00627F71" w:rsidP="005D6421">
            <w:pPr>
              <w:spacing w:before="60"/>
              <w:jc w:val="left"/>
            </w:pPr>
            <w:r w:rsidRPr="00FD4B33">
              <w:t xml:space="preserve">ČEPRO, a.s. se sídlem: Dělnická 213/12 , </w:t>
            </w:r>
            <w:r w:rsidR="003B480C">
              <w:t xml:space="preserve">Holešovice, </w:t>
            </w:r>
            <w:r w:rsidRPr="00FD4B33">
              <w:t>170</w:t>
            </w:r>
            <w:r w:rsidR="0016094E">
              <w:t xml:space="preserve"> </w:t>
            </w:r>
            <w:r w:rsidRPr="00FD4B33">
              <w:t>0</w:t>
            </w:r>
            <w:r w:rsidR="003B480C">
              <w:t>0</w:t>
            </w:r>
            <w:r w:rsidRPr="00FD4B33">
              <w:t xml:space="preserve"> Praha 7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IČ: 60193531,</w:t>
            </w:r>
            <w:r w:rsidR="005D6421">
              <w:t xml:space="preserve"> </w:t>
            </w:r>
            <w:r w:rsidR="00FD4B33">
              <w:t>D</w:t>
            </w:r>
            <w:r w:rsidRPr="00FD4B33">
              <w:t>IČ:  CZ 601 93 531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 xml:space="preserve">zapsaná v obchodním rejstříku u Městského soudu v Praze pod spis. </w:t>
            </w:r>
            <w:proofErr w:type="gramStart"/>
            <w:r w:rsidRPr="00FD4B33">
              <w:t>zn.</w:t>
            </w:r>
            <w:proofErr w:type="gramEnd"/>
            <w:r w:rsidRPr="00FD4B33">
              <w:t xml:space="preserve"> B 2341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Zastoupena:</w:t>
            </w:r>
            <w:r w:rsidRPr="00FD4B33">
              <w:tab/>
            </w:r>
            <w:r w:rsidRPr="00FD4B33">
              <w:tab/>
              <w:t>Mgr. Jan Duspěva, předseda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ab/>
            </w:r>
            <w:r w:rsidRPr="00FD4B33">
              <w:tab/>
            </w:r>
            <w:r w:rsidR="00403D5D" w:rsidRPr="00FD4B33">
              <w:tab/>
            </w:r>
            <w:r w:rsidR="00403D5D" w:rsidRPr="00FD4B33">
              <w:tab/>
            </w:r>
            <w:r w:rsidRPr="00FD4B33">
              <w:tab/>
              <w:t>Ing. Ladislav Staněk, člen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věci zakázky</w:t>
            </w:r>
          </w:p>
        </w:tc>
        <w:tc>
          <w:tcPr>
            <w:tcW w:w="5986" w:type="dxa"/>
            <w:vAlign w:val="center"/>
          </w:tcPr>
          <w:p w:rsidR="00077BBB" w:rsidRPr="006151D0" w:rsidRDefault="00077BBB" w:rsidP="005D642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Bc. Petr Hostek tel: 739 240 030, </w:t>
            </w:r>
            <w:hyperlink r:id="rId9" w:history="1">
              <w:r w:rsidRPr="0057016E">
                <w:rPr>
                  <w:rStyle w:val="Hypertextovodkaz"/>
                  <w:rFonts w:cs="Arial"/>
                </w:rPr>
                <w:t>petr.hostek@ceproas.cz</w:t>
              </w:r>
            </w:hyperlink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věcech technických</w:t>
            </w:r>
          </w:p>
        </w:tc>
        <w:tc>
          <w:tcPr>
            <w:tcW w:w="5986" w:type="dxa"/>
            <w:vAlign w:val="center"/>
          </w:tcPr>
          <w:p w:rsidR="00F31742" w:rsidRPr="00F31742" w:rsidRDefault="008F225F" w:rsidP="00CC5411">
            <w:pPr>
              <w:pStyle w:val="Hlavnnadpis"/>
              <w:jc w:val="left"/>
              <w:rPr>
                <w:b w:val="0"/>
                <w:sz w:val="20"/>
              </w:rPr>
            </w:pPr>
            <w:r w:rsidRPr="008F225F">
              <w:rPr>
                <w:rStyle w:val="Hypertextovodkaz"/>
                <w:b w:val="0"/>
                <w:color w:val="auto"/>
                <w:sz w:val="20"/>
                <w:u w:val="none"/>
              </w:rPr>
              <w:t>Ing</w:t>
            </w:r>
            <w:r w:rsidRPr="00CC5411">
              <w:rPr>
                <w:rStyle w:val="Hypertextovodkaz"/>
                <w:b w:val="0"/>
                <w:color w:val="auto"/>
                <w:sz w:val="20"/>
                <w:u w:val="none"/>
              </w:rPr>
              <w:t xml:space="preserve">. </w:t>
            </w:r>
            <w:r>
              <w:rPr>
                <w:rStyle w:val="Hypertextovodkaz"/>
                <w:b w:val="0"/>
                <w:color w:val="auto"/>
                <w:sz w:val="20"/>
                <w:u w:val="none"/>
              </w:rPr>
              <w:t xml:space="preserve">Vladimír Pavelka, tel: 724 137 251, </w:t>
            </w:r>
            <w:hyperlink r:id="rId10" w:history="1">
              <w:r w:rsidRPr="006D1C38">
                <w:rPr>
                  <w:rStyle w:val="Hypertextovodkaz"/>
                  <w:b w:val="0"/>
                  <w:sz w:val="20"/>
                </w:rPr>
                <w:t>vladimir.pavelka@ceproas.cz</w:t>
              </w:r>
            </w:hyperlink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Lhůta pro podání nabídek</w:t>
            </w:r>
          </w:p>
        </w:tc>
        <w:tc>
          <w:tcPr>
            <w:tcW w:w="5986" w:type="dxa"/>
            <w:vAlign w:val="center"/>
          </w:tcPr>
          <w:p w:rsidR="006151D0" w:rsidRPr="00AB722A" w:rsidRDefault="002143BF" w:rsidP="005D6421">
            <w:pPr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27</w:t>
            </w:r>
            <w:bookmarkStart w:id="0" w:name="_GoBack"/>
            <w:bookmarkEnd w:id="0"/>
            <w:r w:rsidR="009B00BA">
              <w:rPr>
                <w:b/>
                <w:color w:val="FF0000"/>
              </w:rPr>
              <w:t>. 5</w:t>
            </w:r>
            <w:r w:rsidR="00077BBB">
              <w:rPr>
                <w:b/>
                <w:color w:val="FF0000"/>
              </w:rPr>
              <w:t>. 2015</w:t>
            </w:r>
            <w:r w:rsidR="00AB722A">
              <w:rPr>
                <w:b/>
                <w:color w:val="FF0000"/>
              </w:rPr>
              <w:t xml:space="preserve"> do 10:00 hodin</w:t>
            </w:r>
          </w:p>
          <w:p w:rsidR="006151D0" w:rsidRPr="006151D0" w:rsidRDefault="006151D0" w:rsidP="005D6421">
            <w:pPr>
              <w:pStyle w:val="Hlavnnadpis"/>
              <w:jc w:val="left"/>
              <w:rPr>
                <w:b w:val="0"/>
                <w:sz w:val="20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pro podání nabídek</w:t>
            </w:r>
          </w:p>
        </w:tc>
        <w:tc>
          <w:tcPr>
            <w:tcW w:w="5986" w:type="dxa"/>
            <w:vAlign w:val="center"/>
          </w:tcPr>
          <w:p w:rsidR="006151D0" w:rsidRDefault="006151D0" w:rsidP="005D6421">
            <w:pPr>
              <w:jc w:val="left"/>
            </w:pPr>
            <w:r w:rsidRPr="003B393F">
              <w:t>v elektronické podobě prostřednictvím profilu zadavatele na adrese</w:t>
            </w:r>
            <w:r>
              <w:t xml:space="preserve"> </w:t>
            </w:r>
            <w:hyperlink r:id="rId11" w:history="1">
              <w:r w:rsidRPr="004651DD">
                <w:rPr>
                  <w:rStyle w:val="Hypertextovodkaz"/>
                </w:rPr>
                <w:t>https://www.softender.cz/home/profil/992824</w:t>
              </w:r>
            </w:hyperlink>
          </w:p>
          <w:p w:rsidR="006151D0" w:rsidRPr="006151D0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zahájení realizace</w:t>
            </w:r>
            <w:r w:rsidR="003B480C">
              <w:rPr>
                <w:sz w:val="22"/>
                <w:szCs w:val="22"/>
              </w:rPr>
              <w:t>/nabytí účinnosti rámcové smlouvy</w:t>
            </w:r>
          </w:p>
        </w:tc>
        <w:tc>
          <w:tcPr>
            <w:tcW w:w="5986" w:type="dxa"/>
            <w:vAlign w:val="center"/>
          </w:tcPr>
          <w:p w:rsidR="006151D0" w:rsidRPr="00D738D4" w:rsidRDefault="009B00BA" w:rsidP="00077B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Červen</w:t>
            </w:r>
            <w:r w:rsidR="008E656D">
              <w:rPr>
                <w:sz w:val="24"/>
                <w:szCs w:val="24"/>
              </w:rPr>
              <w:t xml:space="preserve"> 2015</w:t>
            </w: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ukončení realizace</w:t>
            </w:r>
            <w:r w:rsidR="003B480C">
              <w:rPr>
                <w:sz w:val="22"/>
                <w:szCs w:val="22"/>
              </w:rPr>
              <w:t>/doba trvání rámcové smlouvy</w:t>
            </w:r>
          </w:p>
        </w:tc>
        <w:tc>
          <w:tcPr>
            <w:tcW w:w="5986" w:type="dxa"/>
            <w:vAlign w:val="center"/>
          </w:tcPr>
          <w:p w:rsidR="006151D0" w:rsidRPr="00D738D4" w:rsidRDefault="008E656D" w:rsidP="00077B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Duben 2019</w:t>
            </w: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plnění</w:t>
            </w:r>
          </w:p>
        </w:tc>
        <w:tc>
          <w:tcPr>
            <w:tcW w:w="5986" w:type="dxa"/>
            <w:vAlign w:val="center"/>
          </w:tcPr>
          <w:p w:rsidR="006151D0" w:rsidRPr="006151D0" w:rsidRDefault="004D5983" w:rsidP="00F31742">
            <w:pPr>
              <w:jc w:val="left"/>
              <w:rPr>
                <w:b/>
                <w:sz w:val="24"/>
                <w:szCs w:val="24"/>
              </w:rPr>
            </w:pPr>
            <w:r w:rsidRPr="007F7A43">
              <w:rPr>
                <w:b/>
              </w:rPr>
              <w:t xml:space="preserve">Vodohospodářská díla a zařízení </w:t>
            </w:r>
            <w:r>
              <w:rPr>
                <w:b/>
              </w:rPr>
              <w:t>na skladech zadavatele uvedených</w:t>
            </w:r>
            <w:r w:rsidRPr="007F7A43">
              <w:rPr>
                <w:b/>
              </w:rPr>
              <w:t xml:space="preserve"> v </w:t>
            </w:r>
            <w:r>
              <w:rPr>
                <w:b/>
              </w:rPr>
              <w:t>bodu 1.3.2.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Hodnotící kritéria</w:t>
            </w:r>
          </w:p>
        </w:tc>
        <w:tc>
          <w:tcPr>
            <w:tcW w:w="5986" w:type="dxa"/>
            <w:vAlign w:val="center"/>
          </w:tcPr>
          <w:p w:rsidR="00FD4B33" w:rsidRPr="00D738D4" w:rsidRDefault="00FD4B33" w:rsidP="005D6421">
            <w:pPr>
              <w:pStyle w:val="Hlavnnadpis"/>
              <w:jc w:val="left"/>
              <w:rPr>
                <w:sz w:val="20"/>
              </w:rPr>
            </w:pPr>
            <w:r w:rsidRPr="00D738D4">
              <w:rPr>
                <w:sz w:val="20"/>
              </w:rPr>
              <w:t>Nejnižší nabídková cena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Splatnost faktur </w:t>
            </w:r>
          </w:p>
        </w:tc>
        <w:tc>
          <w:tcPr>
            <w:tcW w:w="5986" w:type="dxa"/>
            <w:vAlign w:val="center"/>
          </w:tcPr>
          <w:p w:rsidR="00FD4B33" w:rsidRPr="006151D0" w:rsidRDefault="005D6421" w:rsidP="005D642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FD4B33" w:rsidRPr="006151D0">
              <w:rPr>
                <w:b w:val="0"/>
                <w:sz w:val="20"/>
              </w:rPr>
              <w:t xml:space="preserve"> dnů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403D5D" w:rsidP="00002754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Termín </w:t>
            </w:r>
            <w:r w:rsidR="001655E6">
              <w:rPr>
                <w:sz w:val="22"/>
                <w:szCs w:val="22"/>
              </w:rPr>
              <w:t xml:space="preserve">prohlídky místa plnění </w:t>
            </w:r>
          </w:p>
        </w:tc>
        <w:tc>
          <w:tcPr>
            <w:tcW w:w="5986" w:type="dxa"/>
            <w:vAlign w:val="center"/>
          </w:tcPr>
          <w:p w:rsidR="00FD4B33" w:rsidRPr="00AB722A" w:rsidRDefault="00FD4B33" w:rsidP="00AB722A">
            <w:pPr>
              <w:pStyle w:val="Hlavnnadpis"/>
              <w:jc w:val="left"/>
              <w:rPr>
                <w:sz w:val="20"/>
                <w:highlight w:val="green"/>
              </w:rPr>
            </w:pP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9102CB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a platební podmínky</w:t>
            </w:r>
          </w:p>
        </w:tc>
        <w:tc>
          <w:tcPr>
            <w:tcW w:w="5986" w:type="dxa"/>
            <w:vAlign w:val="center"/>
          </w:tcPr>
          <w:p w:rsidR="00FD4B33" w:rsidRPr="009B757C" w:rsidRDefault="009102CB" w:rsidP="009102CB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Bližší obchodní a platební podmínky jsou uvedeny v příloze č. 1 této zadávací dokumentace.</w:t>
            </w:r>
          </w:p>
        </w:tc>
      </w:tr>
    </w:tbl>
    <w:p w:rsidR="00722476" w:rsidRDefault="00722476" w:rsidP="00722476">
      <w:pPr>
        <w:pStyle w:val="1fze"/>
        <w:numPr>
          <w:ilvl w:val="0"/>
          <w:numId w:val="0"/>
        </w:numPr>
        <w:ind w:left="17"/>
        <w:jc w:val="both"/>
      </w:pPr>
      <w:bookmarkStart w:id="1" w:name="_Toc273535865"/>
    </w:p>
    <w:p w:rsidR="00AC4B33" w:rsidRDefault="00AC4B33" w:rsidP="00722476">
      <w:pPr>
        <w:pStyle w:val="1fze"/>
      </w:pPr>
      <w:r>
        <w:lastRenderedPageBreak/>
        <w:t>Rozsah a technické podmínky</w:t>
      </w:r>
      <w:bookmarkEnd w:id="1"/>
      <w:r w:rsidR="002718BE">
        <w:t xml:space="preserve"> zakázky</w:t>
      </w:r>
    </w:p>
    <w:p w:rsidR="00352863" w:rsidRDefault="00352863" w:rsidP="00352863"/>
    <w:p w:rsidR="00F22B85" w:rsidRDefault="002718BE" w:rsidP="0010373C">
      <w:pPr>
        <w:pStyle w:val="Nadpis2"/>
      </w:pPr>
      <w:bookmarkStart w:id="2" w:name="_Toc263143227"/>
      <w:r w:rsidRPr="004E0E07">
        <w:t xml:space="preserve">Vymezení </w:t>
      </w:r>
      <w:r w:rsidRPr="001C5382">
        <w:t>předmětu</w:t>
      </w:r>
      <w:r w:rsidRPr="004E0E07">
        <w:t xml:space="preserve"> zakázky</w:t>
      </w:r>
      <w:bookmarkEnd w:id="2"/>
    </w:p>
    <w:p w:rsidR="008E656D" w:rsidRPr="003B176F" w:rsidRDefault="00A85FEC" w:rsidP="008E656D">
      <w:pPr>
        <w:pStyle w:val="3fze"/>
      </w:pPr>
      <w:r>
        <w:t>Předmětem zakázky je uzavření rámcové smlouvy s jedním dodavatelem (dále též jen „rámcová smlouva“), která bude upravovat podmínky pro jednotlivé dílčí zakázky na služby (dále také jako „dílo“), jejichž předmětem je</w:t>
      </w:r>
      <w:r w:rsidR="008E656D" w:rsidRPr="003B176F">
        <w:t xml:space="preserve"> provádění korektivní, prediktivní a preventivní údržby stávající stokové sítě</w:t>
      </w:r>
      <w:r w:rsidR="008E656D">
        <w:t>,</w:t>
      </w:r>
      <w:r w:rsidR="008E656D" w:rsidRPr="003B176F">
        <w:t xml:space="preserve"> vodních děl</w:t>
      </w:r>
      <w:r w:rsidR="008E656D">
        <w:t xml:space="preserve"> na vodotečích, svodů dešťové vody a podzemních rozvodů vodních potrubí</w:t>
      </w:r>
      <w:r w:rsidR="008E656D" w:rsidRPr="003B176F">
        <w:t xml:space="preserve">. Jedná se především o nahodilé opravy </w:t>
      </w:r>
      <w:r w:rsidR="00223DC8">
        <w:t>níže uvedených</w:t>
      </w:r>
      <w:r w:rsidR="008E656D" w:rsidRPr="003B176F">
        <w:t xml:space="preserve"> závad:</w:t>
      </w:r>
    </w:p>
    <w:p w:rsidR="008E656D" w:rsidRPr="003B176F" w:rsidRDefault="008E656D" w:rsidP="008E656D">
      <w:pPr>
        <w:pStyle w:val="Odstavecseseznamem"/>
        <w:numPr>
          <w:ilvl w:val="0"/>
          <w:numId w:val="32"/>
        </w:numPr>
        <w:ind w:left="993"/>
      </w:pPr>
      <w:r w:rsidRPr="003B176F">
        <w:t>zjištění neprů</w:t>
      </w:r>
      <w:r w:rsidR="00262AF2">
        <w:t>chodnosti části kanalizace</w:t>
      </w:r>
    </w:p>
    <w:p w:rsidR="008E656D" w:rsidRPr="003B176F" w:rsidRDefault="008E656D" w:rsidP="008E656D">
      <w:pPr>
        <w:pStyle w:val="Odstavecseseznamem"/>
        <w:numPr>
          <w:ilvl w:val="0"/>
          <w:numId w:val="32"/>
        </w:numPr>
        <w:ind w:left="993"/>
      </w:pPr>
      <w:r w:rsidRPr="003B176F">
        <w:t>zborcení či</w:t>
      </w:r>
      <w:r w:rsidR="00262AF2">
        <w:t xml:space="preserve"> poškození kanalizačních šachet</w:t>
      </w:r>
    </w:p>
    <w:p w:rsidR="008E656D" w:rsidRPr="003B176F" w:rsidRDefault="008E656D" w:rsidP="008E656D">
      <w:pPr>
        <w:pStyle w:val="Odstavecseseznamem"/>
        <w:numPr>
          <w:ilvl w:val="0"/>
          <w:numId w:val="32"/>
        </w:numPr>
        <w:ind w:left="993"/>
      </w:pPr>
      <w:r w:rsidRPr="003B176F">
        <w:t xml:space="preserve">poškození vodních </w:t>
      </w:r>
      <w:r w:rsidR="00262AF2">
        <w:t>děl – přehrádek, břehů vodotečí</w:t>
      </w:r>
    </w:p>
    <w:p w:rsidR="008E656D" w:rsidRPr="003B176F" w:rsidRDefault="008E656D" w:rsidP="008E656D">
      <w:pPr>
        <w:pStyle w:val="Odstavecseseznamem"/>
        <w:numPr>
          <w:ilvl w:val="0"/>
          <w:numId w:val="32"/>
        </w:numPr>
        <w:ind w:left="993"/>
      </w:pPr>
      <w:r w:rsidRPr="003B176F">
        <w:t>poškození hrází a těles záchytných nádrží</w:t>
      </w:r>
    </w:p>
    <w:p w:rsidR="008E656D" w:rsidRPr="003B176F" w:rsidRDefault="008E656D" w:rsidP="008E656D">
      <w:pPr>
        <w:pStyle w:val="Odstavecseseznamem"/>
        <w:numPr>
          <w:ilvl w:val="0"/>
          <w:numId w:val="32"/>
        </w:numPr>
        <w:ind w:left="993"/>
      </w:pPr>
      <w:r w:rsidRPr="003B176F">
        <w:t>oprava podzemních potrubních rozvodů požární, pitné, užitkové a jiných vod</w:t>
      </w:r>
    </w:p>
    <w:p w:rsidR="008E656D" w:rsidRPr="003B176F" w:rsidRDefault="008E656D" w:rsidP="008E656D">
      <w:pPr>
        <w:pStyle w:val="Odstavecseseznamem"/>
        <w:numPr>
          <w:ilvl w:val="0"/>
          <w:numId w:val="32"/>
        </w:numPr>
        <w:ind w:left="993"/>
      </w:pPr>
      <w:r w:rsidRPr="003B176F">
        <w:t>výměny podzemních ventilů potrubních rozvodů</w:t>
      </w:r>
    </w:p>
    <w:p w:rsidR="008E656D" w:rsidRPr="003B176F" w:rsidRDefault="008E656D" w:rsidP="008E656D">
      <w:pPr>
        <w:pStyle w:val="Odstavecseseznamem"/>
        <w:numPr>
          <w:ilvl w:val="0"/>
          <w:numId w:val="32"/>
        </w:numPr>
        <w:ind w:left="993"/>
      </w:pPr>
      <w:r>
        <w:t xml:space="preserve">vyhledání závady při </w:t>
      </w:r>
      <w:r w:rsidRPr="003B176F">
        <w:t>podezření z nefunkčnosti těchto děl</w:t>
      </w:r>
    </w:p>
    <w:p w:rsidR="008E656D" w:rsidRPr="008E656D" w:rsidRDefault="008E656D" w:rsidP="008E656D">
      <w:pPr>
        <w:pStyle w:val="Odstavecseseznamem"/>
        <w:numPr>
          <w:ilvl w:val="0"/>
          <w:numId w:val="32"/>
        </w:numPr>
        <w:ind w:left="993"/>
      </w:pPr>
      <w:r w:rsidRPr="003B176F">
        <w:t>potřeba monitoringu, následné opravy a uvedení do původního, funkčního stavu výše uvedených děl</w:t>
      </w:r>
    </w:p>
    <w:p w:rsidR="00E7290D" w:rsidRDefault="00F31742" w:rsidP="00D45EDD">
      <w:pPr>
        <w:pStyle w:val="Nadpis2"/>
        <w:rPr>
          <w:rStyle w:val="Nadpis2Char"/>
          <w:b/>
        </w:rPr>
      </w:pPr>
      <w:r w:rsidRPr="00D31A40">
        <w:rPr>
          <w:rStyle w:val="Nadpis2Char"/>
          <w:b/>
        </w:rPr>
        <w:t>Požadovaný</w:t>
      </w:r>
      <w:r w:rsidRPr="00D31A40">
        <w:rPr>
          <w:rStyle w:val="Nadpis2Char"/>
        </w:rPr>
        <w:t xml:space="preserve"> </w:t>
      </w:r>
      <w:r w:rsidRPr="00D31A40">
        <w:rPr>
          <w:rStyle w:val="Nadpis2Char"/>
          <w:b/>
        </w:rPr>
        <w:t>rozsah</w:t>
      </w:r>
    </w:p>
    <w:p w:rsidR="008E656D" w:rsidRPr="00A85FEC" w:rsidRDefault="008E656D" w:rsidP="00A85FEC">
      <w:pPr>
        <w:pStyle w:val="3fze"/>
        <w:rPr>
          <w:u w:val="single"/>
        </w:rPr>
      </w:pPr>
      <w:r w:rsidRPr="00A85FEC">
        <w:rPr>
          <w:u w:val="single"/>
        </w:rPr>
        <w:t xml:space="preserve">Mapování technického stavu </w:t>
      </w:r>
    </w:p>
    <w:p w:rsidR="008E656D" w:rsidRDefault="008E656D" w:rsidP="00A85FEC">
      <w:pPr>
        <w:spacing w:before="0"/>
      </w:pPr>
      <w:r>
        <w:t>Při zjištění závady, ztráty funkčnosti, či podezření z porušení celistvosti vodního díla, bude osloven vybraný dodavatel, aby se dostavil na předpokládané místo poruchy a dostupnými technickými přístroji proměřil, zmonitoroval, či jinak zjistil druh poruchy, rozsah poškození a stanovil možný způsob jejího odstranění.</w:t>
      </w:r>
    </w:p>
    <w:p w:rsidR="008E656D" w:rsidRPr="00A85FEC" w:rsidRDefault="008E656D" w:rsidP="008E656D">
      <w:pPr>
        <w:pStyle w:val="3fze"/>
        <w:rPr>
          <w:u w:val="single"/>
        </w:rPr>
      </w:pPr>
      <w:r w:rsidRPr="00A85FEC">
        <w:rPr>
          <w:u w:val="single"/>
        </w:rPr>
        <w:t xml:space="preserve">Kamerové inspekce a monitoring čištěných stok </w:t>
      </w:r>
    </w:p>
    <w:p w:rsidR="008E656D" w:rsidRDefault="008E656D" w:rsidP="008E656D">
      <w:pPr>
        <w:spacing w:before="0"/>
      </w:pPr>
      <w:r>
        <w:t>Na místa s předpokládanou poruchou, kde není přístup pro pracovníka samotného, je možno „vyslat“ monitorovací kameru, která pořídí záznam, změří vzdálenost, kde se porucha nachází. Tyto informace budou rovněž použity k určení pracovního postupu odstranění poruchy. Poruchu prasklého vodovodního řadu lze zjistit monitorovacím přístrojem, který je poruchu schopen lokalizovat.</w:t>
      </w:r>
    </w:p>
    <w:p w:rsidR="008E656D" w:rsidRPr="00A85FEC" w:rsidRDefault="008E656D" w:rsidP="008E656D">
      <w:pPr>
        <w:pStyle w:val="3fze"/>
        <w:rPr>
          <w:u w:val="single"/>
        </w:rPr>
      </w:pPr>
      <w:r w:rsidRPr="00A85FEC">
        <w:rPr>
          <w:u w:val="single"/>
        </w:rPr>
        <w:t xml:space="preserve">Mechanické a tlakové čištění </w:t>
      </w:r>
    </w:p>
    <w:p w:rsidR="008E656D" w:rsidRDefault="008E656D" w:rsidP="008E656D">
      <w:pPr>
        <w:spacing w:before="0"/>
      </w:pPr>
      <w:r w:rsidRPr="00F23854">
        <w:t>Aby bylo možno</w:t>
      </w:r>
      <w:r>
        <w:t xml:space="preserve"> provést řádný monitoring, či provedena řádná oprava zjištěné poruchy, je potřeba sledovaný úsek závadného díla řádně vyčisti a vytěžený odpad řádně zlikvidovat p</w:t>
      </w:r>
      <w:r w:rsidRPr="00B42FDB">
        <w:t xml:space="preserve">odle druhu </w:t>
      </w:r>
      <w:r>
        <w:t>odpadu, na základě platné legislativy.</w:t>
      </w:r>
    </w:p>
    <w:p w:rsidR="008E656D" w:rsidRPr="00A85FEC" w:rsidRDefault="008E656D" w:rsidP="008E656D">
      <w:pPr>
        <w:pStyle w:val="3fze"/>
        <w:rPr>
          <w:u w:val="single"/>
        </w:rPr>
      </w:pPr>
      <w:r w:rsidRPr="00A85FEC">
        <w:rPr>
          <w:u w:val="single"/>
        </w:rPr>
        <w:t xml:space="preserve">Čištění splaškových, dešťových a olejových kanalizací </w:t>
      </w:r>
    </w:p>
    <w:p w:rsidR="008E656D" w:rsidRDefault="008E656D" w:rsidP="008E656D">
      <w:pPr>
        <w:spacing w:before="0"/>
      </w:pPr>
      <w:r>
        <w:t xml:space="preserve">V některých případech může být zjištěno, že porucha se projevila pouze na základě zneprůchodnění na základě sedimentace kalů, které znemožnily vodnímu dílu plnit svou základní </w:t>
      </w:r>
      <w:r w:rsidR="00223DC8">
        <w:t>funkci, a stalo</w:t>
      </w:r>
      <w:r>
        <w:t xml:space="preserve"> se tak neprůchodným. V tomto případě postačí pouze toto dílo vyčistit a řádně zlikvidovat vytěžený kalový odpad.</w:t>
      </w:r>
    </w:p>
    <w:p w:rsidR="008E656D" w:rsidRPr="00A85FEC" w:rsidRDefault="008E656D" w:rsidP="008E656D">
      <w:pPr>
        <w:pStyle w:val="3fze"/>
        <w:rPr>
          <w:u w:val="single"/>
        </w:rPr>
      </w:pPr>
      <w:r w:rsidRPr="00A85FEC">
        <w:rPr>
          <w:u w:val="single"/>
        </w:rPr>
        <w:t xml:space="preserve">Opravy vodohospodářských děl </w:t>
      </w:r>
    </w:p>
    <w:p w:rsidR="008E656D" w:rsidRPr="008E656D" w:rsidRDefault="008E656D" w:rsidP="008E656D">
      <w:pPr>
        <w:spacing w:before="0"/>
        <w:rPr>
          <w:b/>
          <w:i/>
        </w:rPr>
      </w:pPr>
      <w:r w:rsidRPr="007E2B22">
        <w:t>Po ukončeném vyčištění</w:t>
      </w:r>
      <w:r>
        <w:t>,</w:t>
      </w:r>
      <w:r w:rsidRPr="007E2B22">
        <w:t xml:space="preserve"> monitoringu vodohospodářského díla</w:t>
      </w:r>
      <w:r>
        <w:t>, prostudování zjištěných informací z kamerového či jiného monitoringu, určí dodavatel pracovní postup, zpracuje rozpočet prací, zpracuje časový harmonogram a technologický postup opravy zjištěné závady.</w:t>
      </w:r>
    </w:p>
    <w:p w:rsidR="00D31A40" w:rsidRDefault="00F22B85" w:rsidP="00D45EDD">
      <w:pPr>
        <w:pStyle w:val="Nadpis2"/>
      </w:pPr>
      <w:r w:rsidRPr="0010373C">
        <w:t>Doba a místo plnění zakázky</w:t>
      </w:r>
    </w:p>
    <w:p w:rsidR="00A85FEC" w:rsidRPr="00A85FEC" w:rsidRDefault="00A85FEC" w:rsidP="004B63C9">
      <w:pPr>
        <w:pStyle w:val="3fze"/>
      </w:pPr>
      <w:r w:rsidRPr="00A85FEC">
        <w:t>Doba plnění</w:t>
      </w:r>
    </w:p>
    <w:p w:rsidR="00A85FEC" w:rsidRPr="00621965" w:rsidRDefault="004B63C9" w:rsidP="00621965">
      <w:pPr>
        <w:pStyle w:val="4fze"/>
        <w:tabs>
          <w:tab w:val="clear" w:pos="567"/>
          <w:tab w:val="clear" w:pos="1418"/>
          <w:tab w:val="left" w:pos="426"/>
          <w:tab w:val="left" w:pos="1276"/>
        </w:tabs>
        <w:ind w:left="993" w:hanging="709"/>
      </w:pPr>
      <w:r>
        <w:rPr>
          <w:rFonts w:cs="Arial"/>
        </w:rPr>
        <w:t>Rámcová smlouva b</w:t>
      </w:r>
      <w:r w:rsidR="00E01363">
        <w:rPr>
          <w:rFonts w:cs="Arial"/>
        </w:rPr>
        <w:t>ude uzavřena s jedním vybraným d</w:t>
      </w:r>
      <w:r>
        <w:rPr>
          <w:rFonts w:cs="Arial"/>
        </w:rPr>
        <w:t xml:space="preserve">odavatelem na dobu určitou od 31. 5. 2015 do 30. 4. 2019. </w:t>
      </w:r>
      <w:r>
        <w:t xml:space="preserve">Účinnost rámcové smlouvy nastane buď dne 31. 5. 2015, nebo v případě, že z jakéhokoliv důvodu nedojde k uzavření rámcové smlouvy do 31. 5. 2015, dnem, kdy bude uzavřena smlouva na předmět </w:t>
      </w:r>
      <w:r w:rsidR="00E01363">
        <w:t>plnění této zakázky s vybraným d</w:t>
      </w:r>
      <w:r>
        <w:t>odavatelem (tzn., že platnosti a účinnosti nabude dotčená rámcová smlouva dnem podpisu smlouvy oběma smluvními stranami), přičemž doba trvání této rámcové smlouvy bude vždy od nabytí její účinnosti do 30. 4. 2019.</w:t>
      </w:r>
    </w:p>
    <w:p w:rsidR="00002754" w:rsidRPr="004B63C9" w:rsidRDefault="00002754" w:rsidP="004B63C9">
      <w:pPr>
        <w:pStyle w:val="4fze"/>
        <w:tabs>
          <w:tab w:val="clear" w:pos="567"/>
          <w:tab w:val="clear" w:pos="1418"/>
          <w:tab w:val="left" w:pos="426"/>
          <w:tab w:val="left" w:pos="1276"/>
        </w:tabs>
        <w:ind w:left="993" w:hanging="709"/>
        <w:rPr>
          <w:rFonts w:cs="Arial"/>
        </w:rPr>
      </w:pPr>
      <w:r>
        <w:rPr>
          <w:rFonts w:cs="Arial"/>
        </w:rPr>
        <w:lastRenderedPageBreak/>
        <w:t>V případě, že cena za plnění poskytnutá Dodavatelem Zadavateli za dobu trvání rámcové smlouvy přesáhne</w:t>
      </w:r>
      <w:r w:rsidR="00785DCE">
        <w:rPr>
          <w:rFonts w:cs="Arial"/>
        </w:rPr>
        <w:t xml:space="preserve"> celkovou</w:t>
      </w:r>
      <w:r>
        <w:rPr>
          <w:rFonts w:cs="Arial"/>
        </w:rPr>
        <w:t xml:space="preserve"> předpokládanou hodnotu peněžitého závazku vyplývající z této rámcové smlouvy</w:t>
      </w:r>
      <w:r w:rsidR="00F81A96">
        <w:rPr>
          <w:rFonts w:cs="Arial"/>
        </w:rPr>
        <w:t>, tj.</w:t>
      </w:r>
      <w:r>
        <w:rPr>
          <w:rFonts w:cs="Arial"/>
        </w:rPr>
        <w:t xml:space="preserve"> 1.990.000,- Kč (slovy: jeden milion devět set devadesát tisíc korun českých) bez DPH</w:t>
      </w:r>
      <w:r w:rsidR="00785DCE">
        <w:rPr>
          <w:rFonts w:cs="Arial"/>
        </w:rPr>
        <w:t>, platnost a účinnost této smlouvy skončí dnem naplnění této částky, nebude-li mezi stranami ujednáno jinak.</w:t>
      </w:r>
    </w:p>
    <w:p w:rsidR="00A85FEC" w:rsidRPr="004B63C9" w:rsidRDefault="00A85FEC" w:rsidP="004B63C9">
      <w:pPr>
        <w:pStyle w:val="4fze"/>
        <w:tabs>
          <w:tab w:val="clear" w:pos="567"/>
          <w:tab w:val="clear" w:pos="1418"/>
          <w:tab w:val="left" w:pos="426"/>
          <w:tab w:val="left" w:pos="1276"/>
        </w:tabs>
        <w:ind w:left="993" w:hanging="709"/>
        <w:rPr>
          <w:rFonts w:cs="Arial"/>
        </w:rPr>
      </w:pPr>
      <w:r w:rsidRPr="004B63C9">
        <w:rPr>
          <w:rFonts w:cs="Arial"/>
        </w:rPr>
        <w:t>Jednotlivé dílčí zakázky na služby budou</w:t>
      </w:r>
      <w:r w:rsidR="004B63C9" w:rsidRPr="004B63C9">
        <w:rPr>
          <w:rFonts w:cs="Arial"/>
        </w:rPr>
        <w:t xml:space="preserve"> zadávány dle potřeb zadavatele</w:t>
      </w:r>
    </w:p>
    <w:p w:rsidR="00A85FEC" w:rsidRPr="004B63C9" w:rsidRDefault="00A85FEC" w:rsidP="003B4D14">
      <w:pPr>
        <w:pStyle w:val="3fze"/>
        <w:spacing w:after="120"/>
      </w:pPr>
      <w:r w:rsidRPr="004B63C9">
        <w:t>Místo plnění</w:t>
      </w:r>
    </w:p>
    <w:p w:rsidR="00A85FEC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Třemošná</w:t>
      </w:r>
      <w:r>
        <w:t>:</w:t>
      </w:r>
      <w:r w:rsidR="004D5983">
        <w:t xml:space="preserve"> </w:t>
      </w:r>
      <w:r>
        <w:t>330 11 Třemošná 1057</w:t>
      </w:r>
    </w:p>
    <w:p w:rsidR="003B4D14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Hájek</w:t>
      </w:r>
      <w:r>
        <w:t>:</w:t>
      </w:r>
      <w:r w:rsidR="004D5983">
        <w:t xml:space="preserve"> </w:t>
      </w:r>
      <w:r>
        <w:t>363 01 Ostrov nad Ohří, Hájek 118</w:t>
      </w:r>
    </w:p>
    <w:p w:rsidR="003B4D14" w:rsidRDefault="003B4D14" w:rsidP="003B4D14">
      <w:pPr>
        <w:pStyle w:val="Odstavecseseznamem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Bělčice</w:t>
      </w:r>
      <w:r>
        <w:t>:</w:t>
      </w:r>
      <w:r w:rsidR="004D5983">
        <w:t xml:space="preserve"> </w:t>
      </w:r>
      <w:r>
        <w:t xml:space="preserve">387 43 Bělčice 297 </w:t>
      </w:r>
    </w:p>
    <w:p w:rsidR="003B4D14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Smyslov</w:t>
      </w:r>
      <w:r>
        <w:t>: 390 02 Tábor</w:t>
      </w:r>
      <w:r w:rsidR="00262AF2">
        <w:t xml:space="preserve"> - Měšice</w:t>
      </w:r>
      <w:r>
        <w:t>, Smyslov 23</w:t>
      </w:r>
    </w:p>
    <w:p w:rsidR="003B4D14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Včelná</w:t>
      </w:r>
      <w:r>
        <w:t xml:space="preserve">: </w:t>
      </w:r>
      <w:r w:rsidR="004D5983">
        <w:t xml:space="preserve"> </w:t>
      </w:r>
      <w:r>
        <w:t xml:space="preserve">373 82 </w:t>
      </w:r>
      <w:r w:rsidR="00262AF2">
        <w:t>Boršov nad Vltavou, Čtyři C</w:t>
      </w:r>
      <w:r>
        <w:t>halupy 459</w:t>
      </w:r>
    </w:p>
    <w:p w:rsidR="003B4D14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Hněvice</w:t>
      </w:r>
      <w:r>
        <w:t xml:space="preserve">: 411 08 Štětí, Hněvice 62  </w:t>
      </w:r>
    </w:p>
    <w:p w:rsidR="003B4D14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Mstětice</w:t>
      </w:r>
      <w:r>
        <w:t>:</w:t>
      </w:r>
      <w:r w:rsidR="004D5983">
        <w:t xml:space="preserve"> </w:t>
      </w:r>
      <w:r>
        <w:t>250 91 Zeleneč, Mstětice 3</w:t>
      </w:r>
    </w:p>
    <w:p w:rsidR="003B4D14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Litvínov</w:t>
      </w:r>
      <w:r>
        <w:t>:</w:t>
      </w:r>
      <w:r w:rsidR="004D5983">
        <w:t xml:space="preserve"> </w:t>
      </w:r>
      <w:r>
        <w:t>436 15 Litvínov</w:t>
      </w:r>
      <w:r w:rsidR="00262AF2">
        <w:t xml:space="preserve"> 7</w:t>
      </w:r>
    </w:p>
    <w:p w:rsidR="003B4D14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Cerekvice</w:t>
      </w:r>
      <w:r>
        <w:t>: 507 77 Cerekvice nad Bystřicí 72</w:t>
      </w:r>
    </w:p>
    <w:p w:rsidR="003B4D14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Nové Město</w:t>
      </w:r>
      <w:r>
        <w:t>: 280 02 Nové Město, Břežany I. 62</w:t>
      </w:r>
    </w:p>
    <w:p w:rsidR="003B4D14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Šlapanov</w:t>
      </w:r>
      <w:r>
        <w:t>: 582 51 Šlapanov 162</w:t>
      </w:r>
    </w:p>
    <w:p w:rsidR="003B4D14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Potěhy</w:t>
      </w:r>
      <w:r>
        <w:t>:</w:t>
      </w:r>
      <w:r w:rsidR="004D5983">
        <w:t xml:space="preserve"> </w:t>
      </w:r>
      <w:r>
        <w:t>286 01 Potěhy, Horky</w:t>
      </w:r>
      <w:r w:rsidR="00262AF2">
        <w:t xml:space="preserve"> u Čáslavi</w:t>
      </w:r>
      <w:r>
        <w:t xml:space="preserve"> 131</w:t>
      </w:r>
    </w:p>
    <w:p w:rsidR="003B4D14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Střelice</w:t>
      </w:r>
      <w:r>
        <w:t>: 664 47 Střelice, Brněnská 729/25</w:t>
      </w:r>
    </w:p>
    <w:p w:rsidR="003B4D14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Klobouky</w:t>
      </w:r>
      <w:r>
        <w:t xml:space="preserve">: </w:t>
      </w:r>
      <w:r w:rsidRPr="00CA21D8">
        <w:t>691 72 Klobouky u Brna 860</w:t>
      </w:r>
    </w:p>
    <w:p w:rsidR="003B4D14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Velká Bíteš</w:t>
      </w:r>
      <w:r>
        <w:t>: 595 01 Velká Bíteš, Janovice 288</w:t>
      </w:r>
    </w:p>
    <w:p w:rsidR="003B4D14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>sklad Loukov</w:t>
      </w:r>
      <w:r>
        <w:t xml:space="preserve">: 742 56 Loukov 166 </w:t>
      </w:r>
    </w:p>
    <w:p w:rsidR="003B4D14" w:rsidRDefault="003B4D14" w:rsidP="003B4D14">
      <w:pPr>
        <w:pStyle w:val="Odstavecseseznamem"/>
        <w:numPr>
          <w:ilvl w:val="0"/>
          <w:numId w:val="34"/>
        </w:numPr>
        <w:spacing w:before="0"/>
        <w:ind w:left="714" w:hanging="357"/>
      </w:pPr>
      <w:r w:rsidRPr="003B4D14">
        <w:rPr>
          <w:b/>
        </w:rPr>
        <w:t xml:space="preserve">sklad </w:t>
      </w:r>
      <w:r w:rsidR="00262AF2">
        <w:rPr>
          <w:b/>
        </w:rPr>
        <w:t>Plešovec</w:t>
      </w:r>
      <w:r>
        <w:t xml:space="preserve">: 768 11 Chropyně, Plešovec 81 </w:t>
      </w:r>
    </w:p>
    <w:p w:rsidR="003B4D14" w:rsidRPr="00A85FEC" w:rsidRDefault="003B4D14" w:rsidP="003B4D14">
      <w:pPr>
        <w:pStyle w:val="3fze"/>
        <w:numPr>
          <w:ilvl w:val="0"/>
          <w:numId w:val="34"/>
        </w:numPr>
        <w:spacing w:before="0"/>
        <w:ind w:left="714" w:hanging="357"/>
        <w:rPr>
          <w:b/>
        </w:rPr>
      </w:pPr>
      <w:r w:rsidRPr="003B4D14">
        <w:rPr>
          <w:b/>
        </w:rPr>
        <w:t>sklad Sedlnice</w:t>
      </w:r>
      <w:r>
        <w:t xml:space="preserve">: </w:t>
      </w:r>
      <w:r w:rsidRPr="00CA21D8">
        <w:t>768</w:t>
      </w:r>
      <w:r>
        <w:t xml:space="preserve"> </w:t>
      </w:r>
      <w:r w:rsidRPr="00CA21D8">
        <w:t>11</w:t>
      </w:r>
      <w:r w:rsidR="00262AF2">
        <w:t xml:space="preserve"> </w:t>
      </w:r>
      <w:r w:rsidRPr="00CA21D8">
        <w:t>Sedlnice</w:t>
      </w:r>
      <w:r>
        <w:t xml:space="preserve"> 503</w:t>
      </w:r>
    </w:p>
    <w:p w:rsidR="0010373C" w:rsidRDefault="0010373C" w:rsidP="0010373C">
      <w:pPr>
        <w:pStyle w:val="1fze"/>
      </w:pPr>
      <w:r w:rsidRPr="0051596E">
        <w:t>Rozsah a technické podmínky</w:t>
      </w:r>
    </w:p>
    <w:p w:rsidR="0010373C" w:rsidRDefault="0010373C" w:rsidP="0010373C">
      <w:pPr>
        <w:pStyle w:val="Nadpis2"/>
      </w:pPr>
      <w:bookmarkStart w:id="3" w:name="_Toc273535867"/>
      <w:r w:rsidRPr="0010373C">
        <w:t>Technické podmínky realizac</w:t>
      </w:r>
      <w:bookmarkEnd w:id="3"/>
      <w:r w:rsidRPr="0010373C">
        <w:t>e</w:t>
      </w:r>
    </w:p>
    <w:p w:rsidR="00425D11" w:rsidRPr="00425D11" w:rsidRDefault="00E01363" w:rsidP="00425D11">
      <w:pPr>
        <w:pStyle w:val="3fze"/>
      </w:pPr>
      <w:r>
        <w:rPr>
          <w:rFonts w:cs="Arial"/>
        </w:rPr>
        <w:t>D</w:t>
      </w:r>
      <w:r w:rsidR="00837934">
        <w:rPr>
          <w:rFonts w:cs="Arial"/>
        </w:rPr>
        <w:t>odavatel</w:t>
      </w:r>
      <w:r w:rsidR="00425D11" w:rsidRPr="00DF246B">
        <w:rPr>
          <w:rFonts w:cs="Arial"/>
        </w:rPr>
        <w:t xml:space="preserve"> zpracuje</w:t>
      </w:r>
      <w:r w:rsidR="00425D11">
        <w:rPr>
          <w:rFonts w:cs="Arial"/>
        </w:rPr>
        <w:t xml:space="preserve"> cenový návrh jednotkových cen </w:t>
      </w:r>
      <w:proofErr w:type="gramStart"/>
      <w:r w:rsidR="00425D11">
        <w:rPr>
          <w:rFonts w:cs="Arial"/>
        </w:rPr>
        <w:t>viz.</w:t>
      </w:r>
      <w:proofErr w:type="gramEnd"/>
      <w:r w:rsidR="00425D11">
        <w:rPr>
          <w:rFonts w:cs="Arial"/>
        </w:rPr>
        <w:t xml:space="preserve"> Příloha </w:t>
      </w:r>
      <w:proofErr w:type="gramStart"/>
      <w:r w:rsidR="00425D11">
        <w:rPr>
          <w:rFonts w:cs="Arial"/>
        </w:rPr>
        <w:t>č.3 - Položkový</w:t>
      </w:r>
      <w:proofErr w:type="gramEnd"/>
      <w:r w:rsidR="00425D11">
        <w:rPr>
          <w:rFonts w:cs="Arial"/>
        </w:rPr>
        <w:t xml:space="preserve"> rozpočet</w:t>
      </w:r>
    </w:p>
    <w:p w:rsidR="00425D11" w:rsidRPr="00425D11" w:rsidRDefault="00E01363" w:rsidP="00425D11">
      <w:pPr>
        <w:pStyle w:val="3fze"/>
      </w:pPr>
      <w:r>
        <w:rPr>
          <w:rFonts w:cs="Arial"/>
        </w:rPr>
        <w:t>D</w:t>
      </w:r>
      <w:r w:rsidR="00837934">
        <w:rPr>
          <w:rFonts w:cs="Arial"/>
        </w:rPr>
        <w:t>odavatel</w:t>
      </w:r>
      <w:r w:rsidR="00425D11">
        <w:rPr>
          <w:rFonts w:cs="Arial"/>
        </w:rPr>
        <w:t xml:space="preserve"> zabezpečí </w:t>
      </w:r>
      <w:r w:rsidR="00425D11" w:rsidRPr="00C445CD">
        <w:rPr>
          <w:rFonts w:cs="Arial"/>
        </w:rPr>
        <w:t>vhodn</w:t>
      </w:r>
      <w:r w:rsidR="00425D11">
        <w:rPr>
          <w:rFonts w:cs="Arial"/>
        </w:rPr>
        <w:t>ou</w:t>
      </w:r>
      <w:r w:rsidR="00425D11" w:rsidRPr="00C445CD">
        <w:rPr>
          <w:rFonts w:cs="Arial"/>
        </w:rPr>
        <w:t xml:space="preserve"> technik</w:t>
      </w:r>
      <w:r w:rsidR="00425D11">
        <w:rPr>
          <w:rFonts w:cs="Arial"/>
        </w:rPr>
        <w:t>u</w:t>
      </w:r>
      <w:r w:rsidR="00425D11" w:rsidRPr="00C445CD">
        <w:rPr>
          <w:rFonts w:cs="Arial"/>
        </w:rPr>
        <w:t xml:space="preserve"> pro provedení veškerých prací v daném prostředí</w:t>
      </w:r>
    </w:p>
    <w:p w:rsidR="00425D11" w:rsidRPr="00425D11" w:rsidRDefault="00E01363" w:rsidP="00425D11">
      <w:pPr>
        <w:pStyle w:val="3fze"/>
      </w:pPr>
      <w:r>
        <w:rPr>
          <w:rFonts w:cs="Arial"/>
        </w:rPr>
        <w:t>Č</w:t>
      </w:r>
      <w:r w:rsidR="00425D11" w:rsidRPr="00C445CD">
        <w:rPr>
          <w:rFonts w:cs="Arial"/>
        </w:rPr>
        <w:t xml:space="preserve">ištěním vzniklé odpady </w:t>
      </w:r>
      <w:r w:rsidR="00425D11">
        <w:rPr>
          <w:rFonts w:cs="Arial"/>
        </w:rPr>
        <w:t>budou</w:t>
      </w:r>
      <w:r w:rsidR="00425D11" w:rsidRPr="00C445CD">
        <w:rPr>
          <w:rFonts w:cs="Arial"/>
        </w:rPr>
        <w:t xml:space="preserve"> produkcí </w:t>
      </w:r>
      <w:r w:rsidR="00425D11">
        <w:rPr>
          <w:rFonts w:cs="Arial"/>
        </w:rPr>
        <w:t xml:space="preserve">vybraného </w:t>
      </w:r>
      <w:r w:rsidR="00425D11" w:rsidRPr="00C445CD">
        <w:rPr>
          <w:rFonts w:cs="Arial"/>
        </w:rPr>
        <w:t>zhotovitele (původce odpadu)</w:t>
      </w:r>
      <w:r w:rsidR="00425D11">
        <w:rPr>
          <w:rFonts w:cs="Arial"/>
        </w:rPr>
        <w:t xml:space="preserve">, které musí být zařazeny </w:t>
      </w:r>
      <w:r w:rsidR="00425D11" w:rsidRPr="00C445CD">
        <w:rPr>
          <w:rFonts w:cs="Arial"/>
        </w:rPr>
        <w:t>podle katalogu odpadů (vyhláška MŽP č. 381/2001 Sb.) jako nebezpečné odpady podle odvětví, obo</w:t>
      </w:r>
      <w:r w:rsidR="00425D11">
        <w:rPr>
          <w:rFonts w:cs="Arial"/>
        </w:rPr>
        <w:t>ru nebo technologického procesu</w:t>
      </w:r>
    </w:p>
    <w:p w:rsidR="00425D11" w:rsidRPr="00425D11" w:rsidRDefault="00E01363" w:rsidP="00425D11">
      <w:pPr>
        <w:pStyle w:val="3fze"/>
      </w:pPr>
      <w:r>
        <w:rPr>
          <w:rFonts w:cs="Arial"/>
        </w:rPr>
        <w:t>D</w:t>
      </w:r>
      <w:r w:rsidR="00837934">
        <w:rPr>
          <w:rFonts w:cs="Arial"/>
        </w:rPr>
        <w:t>odavatel</w:t>
      </w:r>
      <w:r w:rsidR="00425D11" w:rsidRPr="00041014">
        <w:rPr>
          <w:rFonts w:cs="Arial"/>
        </w:rPr>
        <w:t xml:space="preserve"> musí být držitelem platného souhlasu k nakládání s nebezpečnými odpady</w:t>
      </w:r>
      <w:r w:rsidR="00425D11">
        <w:rPr>
          <w:rFonts w:cs="Arial"/>
        </w:rPr>
        <w:t xml:space="preserve"> v rozsahu potřebném pro realizaci této zakázky</w:t>
      </w:r>
    </w:p>
    <w:p w:rsidR="00425D11" w:rsidRPr="00425D11" w:rsidRDefault="000701B2" w:rsidP="00425D11">
      <w:pPr>
        <w:pStyle w:val="3fze"/>
      </w:pPr>
      <w:r>
        <w:rPr>
          <w:rFonts w:cs="Arial"/>
        </w:rPr>
        <w:t>V</w:t>
      </w:r>
      <w:r w:rsidR="00425D11">
        <w:rPr>
          <w:rFonts w:cs="Arial"/>
        </w:rPr>
        <w:t>ybraný zhotovitel díla zabezpečí pře</w:t>
      </w:r>
      <w:r w:rsidR="00425D11" w:rsidRPr="00C445CD">
        <w:rPr>
          <w:rFonts w:cs="Arial"/>
        </w:rPr>
        <w:t>prav</w:t>
      </w:r>
      <w:r w:rsidR="00425D11">
        <w:rPr>
          <w:rFonts w:cs="Arial"/>
        </w:rPr>
        <w:t>u</w:t>
      </w:r>
      <w:r w:rsidR="00425D11" w:rsidRPr="00C445CD">
        <w:rPr>
          <w:rFonts w:cs="Arial"/>
        </w:rPr>
        <w:t xml:space="preserve"> odpadů jako věci nebezpečného charakteru,</w:t>
      </w:r>
      <w:r w:rsidR="00425D11">
        <w:rPr>
          <w:rFonts w:cs="Arial"/>
        </w:rPr>
        <w:t xml:space="preserve"> a to </w:t>
      </w:r>
      <w:r w:rsidR="00425D11" w:rsidRPr="00C445CD">
        <w:rPr>
          <w:rFonts w:cs="Arial"/>
        </w:rPr>
        <w:t xml:space="preserve">v souladu podmínkami stanovenými zákonem o silniční </w:t>
      </w:r>
      <w:r w:rsidR="00425D11">
        <w:rPr>
          <w:rFonts w:cs="Arial"/>
        </w:rPr>
        <w:t>dopravě</w:t>
      </w:r>
      <w:r w:rsidR="00425D11" w:rsidRPr="00C445CD">
        <w:rPr>
          <w:rFonts w:cs="Arial"/>
        </w:rPr>
        <w:t xml:space="preserve"> č. 111/1994 Sb</w:t>
      </w:r>
      <w:r w:rsidR="00425D11">
        <w:rPr>
          <w:rFonts w:cs="Arial"/>
        </w:rPr>
        <w:t>. a </w:t>
      </w:r>
      <w:r w:rsidR="00425D11" w:rsidRPr="00C445CD">
        <w:rPr>
          <w:rFonts w:cs="Arial"/>
        </w:rPr>
        <w:t>v souladu s Dohodou ADR</w:t>
      </w:r>
    </w:p>
    <w:p w:rsidR="00377791" w:rsidRDefault="00377791" w:rsidP="00377791">
      <w:pPr>
        <w:pStyle w:val="1fze"/>
      </w:pPr>
      <w:r w:rsidRPr="00380B52">
        <w:t>Platební a fakturační podmínky</w:t>
      </w:r>
    </w:p>
    <w:p w:rsidR="00377791" w:rsidRPr="00377791" w:rsidRDefault="00377791" w:rsidP="00377791">
      <w:pPr>
        <w:pStyle w:val="Nadpis2"/>
        <w:spacing w:after="0"/>
        <w:rPr>
          <w:b w:val="0"/>
        </w:rPr>
      </w:pPr>
      <w:r w:rsidRPr="00377791">
        <w:rPr>
          <w:b w:val="0"/>
        </w:rPr>
        <w:t>Zadavatel neposkytuje zálohy.</w:t>
      </w:r>
    </w:p>
    <w:p w:rsidR="00377791" w:rsidRPr="00377791" w:rsidRDefault="00377791" w:rsidP="00377791">
      <w:pPr>
        <w:pStyle w:val="Nadpis2"/>
        <w:spacing w:before="120" w:after="0"/>
        <w:rPr>
          <w:b w:val="0"/>
        </w:rPr>
      </w:pPr>
      <w:r w:rsidRPr="00377791">
        <w:rPr>
          <w:b w:val="0"/>
        </w:rPr>
        <w:t>Podkladem pro zaplacení sjednané ceny je daňový do</w:t>
      </w:r>
      <w:r w:rsidR="00E01363">
        <w:rPr>
          <w:b w:val="0"/>
        </w:rPr>
        <w:t>klad – faktura, kterou vystaví d</w:t>
      </w:r>
      <w:r w:rsidRPr="00377791">
        <w:rPr>
          <w:b w:val="0"/>
        </w:rPr>
        <w:t>odavatel. Zadavatel bude platit za předmět plnění - dílo specifikované v této Zadávací dokumentaci, a to po vzájemném odsouhlasení oběma smluvními stranami po celkovém předání předmětu zakázky oboustranně stvrzeného podpisem protokolu o předání a převzetí.</w:t>
      </w:r>
    </w:p>
    <w:p w:rsidR="00377791" w:rsidRPr="00377791" w:rsidRDefault="00377791" w:rsidP="00377791">
      <w:pPr>
        <w:pStyle w:val="Nadpis2"/>
        <w:spacing w:before="120" w:after="0"/>
        <w:rPr>
          <w:b w:val="0"/>
        </w:rPr>
      </w:pPr>
      <w:r w:rsidRPr="00377791">
        <w:rPr>
          <w:b w:val="0"/>
        </w:rPr>
        <w:t>Splatnost daňového dokladu – faktury je 30 dnů ode dne jejího prokazatelného doručení Zadavateli.</w:t>
      </w:r>
    </w:p>
    <w:p w:rsidR="00377791" w:rsidRPr="00377791" w:rsidRDefault="00377791" w:rsidP="00377791">
      <w:pPr>
        <w:pStyle w:val="Nadpis2"/>
        <w:spacing w:before="120" w:after="0"/>
        <w:rPr>
          <w:b w:val="0"/>
        </w:rPr>
      </w:pPr>
      <w:r w:rsidRPr="00377791">
        <w:rPr>
          <w:b w:val="0"/>
        </w:rPr>
        <w:lastRenderedPageBreak/>
        <w:t xml:space="preserve">Daňový doklad – faktura musí obsahovat veškeré náležitosti daňového dokladu podle platné legislativy, zejména dle příslušných ustanovení zákona č. 235/2004 Sb., o dani z přidané hodnoty, v platném znění. Zadavatel si vyhrazuje právo vrátit daňový doklad – fakturu, pokud neobsahuje požadované náležitosti nebo obsahuje nesprávné údaje. Doručením opraveného daňového dokladu – faktury Zadavateli začíná běžet </w:t>
      </w:r>
      <w:r>
        <w:rPr>
          <w:b w:val="0"/>
        </w:rPr>
        <w:t>nová lhůta splatnosti v délce 30</w:t>
      </w:r>
      <w:r w:rsidRPr="00377791">
        <w:rPr>
          <w:b w:val="0"/>
        </w:rPr>
        <w:t xml:space="preserve"> dnů ode dne doručení.</w:t>
      </w:r>
    </w:p>
    <w:p w:rsidR="00377791" w:rsidRPr="00377791" w:rsidRDefault="00377791" w:rsidP="00377791">
      <w:pPr>
        <w:pStyle w:val="Nadpis2"/>
        <w:spacing w:before="120" w:after="0"/>
        <w:rPr>
          <w:b w:val="0"/>
        </w:rPr>
      </w:pPr>
      <w:r w:rsidRPr="00377791">
        <w:rPr>
          <w:b w:val="0"/>
        </w:rPr>
        <w:t>Dodavatel vystaví zvlášť fakturu pro plnění, u něhož je podle právních předpisů plátcem DPH dodavatel (tj. povinnost přiznat a zaplatit DPH vzniká dodavateli) a zvlášť fakturu pro zdanitelné plnění, u něhož je podle právních předpisů plátcem DPH Zadavatel (tj. povinnost přiznat a zaplatit DPH vzniká Zadavateli).</w:t>
      </w:r>
    </w:p>
    <w:p w:rsidR="00377791" w:rsidRPr="00377791" w:rsidRDefault="00377791" w:rsidP="00377791">
      <w:pPr>
        <w:pStyle w:val="Nadpis2"/>
        <w:spacing w:before="120" w:after="0"/>
        <w:rPr>
          <w:b w:val="0"/>
        </w:rPr>
      </w:pPr>
      <w:r w:rsidRPr="00377791">
        <w:rPr>
          <w:b w:val="0"/>
        </w:rPr>
        <w:t>Platba za předmět plnění bude probíhat bezhotovostním přev</w:t>
      </w:r>
      <w:r w:rsidR="00E01363">
        <w:rPr>
          <w:b w:val="0"/>
        </w:rPr>
        <w:t>odem z účtu Zadavatele na účet d</w:t>
      </w:r>
      <w:r w:rsidRPr="00377791">
        <w:rPr>
          <w:b w:val="0"/>
        </w:rPr>
        <w:t>odavatele. Dodavatel určí k úhradě plateb účet u peněžního ústavu v České republice.</w:t>
      </w:r>
    </w:p>
    <w:p w:rsidR="00377791" w:rsidRPr="00377791" w:rsidRDefault="00377791" w:rsidP="00377791">
      <w:pPr>
        <w:pStyle w:val="Nadpis2"/>
        <w:spacing w:before="120" w:after="0"/>
      </w:pPr>
      <w:r w:rsidRPr="00377791">
        <w:rPr>
          <w:b w:val="0"/>
        </w:rPr>
        <w:t>Bližší platební a fakturační podmínky jsou uvedeny v návrhu smlouvy o dílo a VOP (Příloha č. 1 této Zadávací dokumentace).</w:t>
      </w:r>
    </w:p>
    <w:p w:rsidR="00BE7B85" w:rsidRDefault="00BE7B85" w:rsidP="00BE7B85">
      <w:pPr>
        <w:pStyle w:val="1fze"/>
      </w:pPr>
      <w:r>
        <w:t>Způsob zpracování nabídkové ceny</w:t>
      </w:r>
    </w:p>
    <w:p w:rsidR="00567D34" w:rsidRDefault="00567D34" w:rsidP="00567D34">
      <w:pPr>
        <w:pStyle w:val="02-ODST-2"/>
      </w:pPr>
      <w:r w:rsidRPr="00567D34">
        <w:t>Nabídková cena bude zpracována v souladu s požadavky zadavatele uvedenými v této Zadávací dokumentaci.</w:t>
      </w:r>
    </w:p>
    <w:p w:rsidR="00567D34" w:rsidRDefault="00567D34" w:rsidP="00567D34">
      <w:pPr>
        <w:pStyle w:val="02-ODST-2"/>
      </w:pPr>
      <w:r>
        <w:t>Nabídková cena, jakož i jednotkové ceny v položkovém rozpočtu, budou uvedeny v korunách českých bez DPH.</w:t>
      </w:r>
    </w:p>
    <w:p w:rsidR="006627E5" w:rsidRDefault="006627E5" w:rsidP="00567D34">
      <w:pPr>
        <w:pStyle w:val="02-ODST-2"/>
      </w:pPr>
      <w:r>
        <w:t>Nabídková cena bude zpracována za kompletní dodávku a provedení všech činností dle zadání.</w:t>
      </w:r>
    </w:p>
    <w:p w:rsidR="001C5382" w:rsidRPr="001C5382" w:rsidRDefault="00E01363" w:rsidP="001C5382">
      <w:pPr>
        <w:pStyle w:val="02-ODST-2"/>
      </w:pPr>
      <w:r>
        <w:t>Nabídková cena bude pro d</w:t>
      </w:r>
      <w:r w:rsidR="00567D34">
        <w:t>odavatele závazná, musí být definována jako nejvýše přípustná, se započtením veškerých nákladů, rizik, zisku apod. spojených s plněním celého rozsahu zakázky, (včetně veškerých dalších nákladů např. dopravy, poplatků, režijních nákladů atd.) na celou dobu a rozsah plnění zakázky.</w:t>
      </w:r>
    </w:p>
    <w:p w:rsidR="00AF26B7" w:rsidRDefault="00AF26B7" w:rsidP="006E29B4">
      <w:pPr>
        <w:pStyle w:val="1fze"/>
      </w:pPr>
      <w:r>
        <w:t>Způsob hodnocení nabídek</w:t>
      </w:r>
    </w:p>
    <w:p w:rsidR="006627E5" w:rsidRPr="000438E5" w:rsidRDefault="006627E5" w:rsidP="006627E5">
      <w:pPr>
        <w:pStyle w:val="02-ODST-2"/>
      </w:pPr>
      <w:r w:rsidRPr="000438E5">
        <w:t>Základním hodnotícím kritériem je nejnižší nabídková cena.</w:t>
      </w:r>
    </w:p>
    <w:p w:rsidR="006627E5" w:rsidRDefault="006627E5" w:rsidP="006627E5">
      <w:pPr>
        <w:pStyle w:val="02-ODST-2"/>
      </w:pPr>
      <w:r>
        <w:t xml:space="preserve">Nabídková cena pro účely hodnocení nabídek se rozumí součet jednotlivých nabídnutých jednotkových cen (Příloha č. 3). Dle výsledné částky </w:t>
      </w:r>
      <w:r w:rsidR="00E01363">
        <w:t>takto vypočtené nabídkové ceny d</w:t>
      </w:r>
      <w:r>
        <w:t>odavatele, jež bude zjištěna na základě uvedeného postupu, bude stanoveno pořadí od</w:t>
      </w:r>
      <w:r w:rsidR="00E01363">
        <w:t xml:space="preserve"> nejnižší po nejvyšší. Nabídka d</w:t>
      </w:r>
      <w:r>
        <w:t>odavatele (splňující veškeré další podmínky a požadavky Zadavatele) s nejnižší nabídkovou cenou, bude vybrána jako nejvhodnější.</w:t>
      </w:r>
    </w:p>
    <w:p w:rsidR="000701B2" w:rsidRPr="000701B2" w:rsidRDefault="000701B2" w:rsidP="000701B2">
      <w:pPr>
        <w:pStyle w:val="02-ODST-2"/>
        <w:rPr>
          <w:rFonts w:cs="Arial"/>
        </w:rPr>
      </w:pPr>
      <w:r w:rsidRPr="004259F5">
        <w:t xml:space="preserve">Jednání v rámci hodnotících kol s </w:t>
      </w:r>
      <w:r>
        <w:t>dodavateli</w:t>
      </w:r>
      <w:r w:rsidRPr="004259F5">
        <w:t xml:space="preserve"> bude probíhat prostřednictvím e-mailu</w:t>
      </w:r>
      <w:r>
        <w:t xml:space="preserve"> či profilu Zadavatele</w:t>
      </w:r>
      <w:r w:rsidRPr="004259F5">
        <w:t xml:space="preserve">, pokud nebudou </w:t>
      </w:r>
      <w:r>
        <w:t>dodavatelé</w:t>
      </w:r>
      <w:r w:rsidRPr="004259F5">
        <w:t xml:space="preserve"> vyzváni k</w:t>
      </w:r>
      <w:r>
        <w:t> </w:t>
      </w:r>
      <w:r w:rsidRPr="004259F5">
        <w:t>písemnému</w:t>
      </w:r>
      <w:r>
        <w:t xml:space="preserve"> listinnému</w:t>
      </w:r>
      <w:r w:rsidRPr="004259F5">
        <w:t xml:space="preserve"> nebo osobnímu jednání.</w:t>
      </w:r>
    </w:p>
    <w:p w:rsidR="006627E5" w:rsidRDefault="006627E5" w:rsidP="006627E5">
      <w:pPr>
        <w:pStyle w:val="02-ODST-2"/>
      </w:pPr>
      <w:r>
        <w:t>Provádění hodnocení nabídek v rámci tohoto výběrového řízení bude probíhat dle níže uvedených pravidel, a to zpravidla ve více kolech:</w:t>
      </w:r>
      <w:r>
        <w:tab/>
      </w:r>
    </w:p>
    <w:p w:rsidR="006627E5" w:rsidRPr="00F664DB" w:rsidRDefault="006627E5" w:rsidP="006627E5">
      <w:pPr>
        <w:pStyle w:val="02-ODST-2"/>
        <w:rPr>
          <w:rFonts w:cs="Arial"/>
        </w:rPr>
      </w:pPr>
      <w:r w:rsidRPr="00337983">
        <w:t>Celkový počet hodnotících kol není omezen</w:t>
      </w:r>
      <w:r>
        <w:t>, zadavatel je oprávněn ukončit hodnocení nabídek i bez provedení vícekolového jednání</w:t>
      </w:r>
      <w:r w:rsidRPr="00337983">
        <w:t>. Současně s výzvou pro předložení nabídkov</w:t>
      </w:r>
      <w:r>
        <w:t>é</w:t>
      </w:r>
      <w:r w:rsidRPr="00337983">
        <w:t xml:space="preserve"> cen</w:t>
      </w:r>
      <w:r>
        <w:t>y</w:t>
      </w:r>
      <w:r w:rsidRPr="00337983">
        <w:t xml:space="preserve"> pr</w:t>
      </w:r>
      <w:r>
        <w:t>o hodnocen</w:t>
      </w:r>
      <w:r w:rsidR="00E01363">
        <w:t>í v dalším kole může Zadavatel d</w:t>
      </w:r>
      <w:r>
        <w:t>odavatele</w:t>
      </w:r>
      <w:r w:rsidRPr="00337983">
        <w:t xml:space="preserve"> informovat o tom, že následující hodnotící kolo bude poslední.</w:t>
      </w:r>
      <w:r>
        <w:rPr>
          <w:rFonts w:cs="Arial"/>
        </w:rPr>
        <w:t xml:space="preserve"> </w:t>
      </w:r>
      <w:r w:rsidRPr="00337983">
        <w:t xml:space="preserve">Pro každého </w:t>
      </w:r>
      <w:r w:rsidR="00E01363">
        <w:t>d</w:t>
      </w:r>
      <w:r>
        <w:t>odavatele</w:t>
      </w:r>
      <w:r w:rsidRPr="00337983">
        <w:t xml:space="preserve"> je vždy závazná poslední předložená nabídková cena.</w:t>
      </w:r>
    </w:p>
    <w:p w:rsidR="006627E5" w:rsidRPr="006627E5" w:rsidRDefault="006627E5" w:rsidP="006627E5">
      <w:pPr>
        <w:pStyle w:val="02-ODST-2"/>
        <w:rPr>
          <w:rFonts w:cs="Arial"/>
        </w:rPr>
      </w:pPr>
      <w:r>
        <w:t>Dodavatel</w:t>
      </w:r>
      <w:r w:rsidRPr="00337983">
        <w:t xml:space="preserve">, který bude v posledním kole vyhodnocen jako vítězný, bude vyzván k podpisu smlouvy. Neposkytne-li vítězný </w:t>
      </w:r>
      <w:r w:rsidR="00E01363">
        <w:t>d</w:t>
      </w:r>
      <w:r>
        <w:t>odavatel</w:t>
      </w:r>
      <w:r w:rsidRPr="00337983">
        <w:t xml:space="preserve"> dostatečnou součinnost k podpisu smlouvy, a ta nebude z důvodů na jeho straně podepsána do 15 dnů od </w:t>
      </w:r>
      <w:r>
        <w:t>vyzvání k jejímu podpisu, může Z</w:t>
      </w:r>
      <w:r w:rsidRPr="00337983">
        <w:t xml:space="preserve">adavatel vyzvat k podpisu smlouvy </w:t>
      </w:r>
      <w:r w:rsidR="00E01363">
        <w:t>d</w:t>
      </w:r>
      <w:r>
        <w:t>odavatel</w:t>
      </w:r>
      <w:r w:rsidRPr="00337983">
        <w:t xml:space="preserve">e, který se v konečném hodnocení umístil na druhém místě (to stejné platí i pro další </w:t>
      </w:r>
      <w:r w:rsidR="00E01363">
        <w:t>d</w:t>
      </w:r>
      <w:r>
        <w:t>odavatele</w:t>
      </w:r>
      <w:r w:rsidRPr="00337983">
        <w:t xml:space="preserve"> v pořadí).</w:t>
      </w:r>
    </w:p>
    <w:p w:rsidR="00AF26B7" w:rsidRDefault="00AF26B7" w:rsidP="001C5382">
      <w:pPr>
        <w:pStyle w:val="1fze"/>
        <w:ind w:left="17"/>
      </w:pPr>
      <w:r>
        <w:lastRenderedPageBreak/>
        <w:t>Podmínky a požadavky na zpracování nabídky</w:t>
      </w:r>
    </w:p>
    <w:p w:rsidR="00A808F3" w:rsidRPr="00A808F3" w:rsidRDefault="00A808F3" w:rsidP="00A808F3">
      <w:pPr>
        <w:pStyle w:val="Nadpis2"/>
      </w:pPr>
      <w:r w:rsidRPr="00A808F3">
        <w:rPr>
          <w:b w:val="0"/>
        </w:rPr>
        <w:t>Dodavatel je povinen zpracovat svou nabídku v českém jazyce bez přepisů a oprav, které by mohly uvést v omyl.</w:t>
      </w:r>
      <w:r w:rsidRPr="00A808F3">
        <w:t xml:space="preserve"> Nabídka musí obsahovat:</w:t>
      </w:r>
    </w:p>
    <w:p w:rsidR="00A808F3" w:rsidRDefault="00A808F3" w:rsidP="00A808F3">
      <w:pPr>
        <w:pStyle w:val="3fze"/>
      </w:pPr>
      <w:r w:rsidRPr="00556685">
        <w:rPr>
          <w:b/>
        </w:rPr>
        <w:t>Krycí list nabídky</w:t>
      </w:r>
      <w:r w:rsidRPr="00A841B0">
        <w:t>. Na krycím listu budou uvedeny zejména t</w:t>
      </w:r>
      <w:r>
        <w:t xml:space="preserve">yto údaje: název zakázky malého </w:t>
      </w:r>
      <w:r w:rsidRPr="00A841B0">
        <w:t>rozsahu</w:t>
      </w:r>
      <w:r>
        <w:t>, základní identifikační údaje Z</w:t>
      </w:r>
      <w:r w:rsidRPr="00A841B0">
        <w:t>adava</w:t>
      </w:r>
      <w:r w:rsidR="00E01363">
        <w:t>tele a d</w:t>
      </w:r>
      <w:r>
        <w:t>odavatele</w:t>
      </w:r>
      <w:r w:rsidRPr="00A841B0">
        <w:t xml:space="preserve"> (včetně osob zmocněných k dalším jednáním), datum a podpis osoby oprávněné </w:t>
      </w:r>
      <w:r w:rsidR="00E01363">
        <w:t>zastupovat d</w:t>
      </w:r>
      <w:r>
        <w:t xml:space="preserve">odavatele </w:t>
      </w:r>
      <w:r w:rsidRPr="00A841B0">
        <w:t>včetně uvedení e-mailové adresy (vzor krycího listu je přílohou č. 2)</w:t>
      </w:r>
      <w:r>
        <w:t>.</w:t>
      </w:r>
    </w:p>
    <w:p w:rsidR="00A808F3" w:rsidRPr="00457C1A" w:rsidRDefault="00A808F3" w:rsidP="00A808F3">
      <w:pPr>
        <w:pStyle w:val="3fze"/>
      </w:pPr>
      <w:r w:rsidRPr="00556685">
        <w:rPr>
          <w:b/>
        </w:rPr>
        <w:t>Obsah nabídky</w:t>
      </w:r>
      <w:r w:rsidRPr="00457C1A">
        <w:t xml:space="preserve">. Nabídka bude opatřena obsahem s uvedením čísel stránek u jednotlivých oddílů (kapitol). Všechny listy nabídky včetně příloh budou řádně očíslovány vzestupnou číselnou řadou. Nabídka bude </w:t>
      </w:r>
      <w:r w:rsidR="000701B2">
        <w:t>upravena</w:t>
      </w:r>
      <w:r w:rsidRPr="00457C1A">
        <w:t xml:space="preserve"> způsobem zabraňujícím neoprávněné manipulaci.</w:t>
      </w:r>
    </w:p>
    <w:p w:rsidR="00A808F3" w:rsidRDefault="00A808F3" w:rsidP="00A808F3">
      <w:pPr>
        <w:pStyle w:val="3fze"/>
      </w:pPr>
      <w:r w:rsidRPr="00A808F3">
        <w:rPr>
          <w:b/>
        </w:rPr>
        <w:t>Vlastní obsahovou část</w:t>
      </w:r>
      <w:r>
        <w:t>.</w:t>
      </w:r>
    </w:p>
    <w:p w:rsidR="00A808F3" w:rsidRPr="00380B52" w:rsidRDefault="00A808F3" w:rsidP="00A808F3">
      <w:pPr>
        <w:pStyle w:val="Nadpis2"/>
      </w:pPr>
      <w:r w:rsidRPr="00380B52">
        <w:t>Dokumenty k prokázání předpokladů:</w:t>
      </w:r>
    </w:p>
    <w:p w:rsidR="00A808F3" w:rsidRPr="00CE5417" w:rsidRDefault="00A808F3" w:rsidP="00A808F3">
      <w:pPr>
        <w:pStyle w:val="3fze"/>
      </w:pPr>
      <w:r w:rsidRPr="00CE5417">
        <w:t>Dodavatel je povinen prokázat profesní kvalifikační předpoklady, a to doložením kopií:</w:t>
      </w:r>
    </w:p>
    <w:p w:rsidR="00A808F3" w:rsidRDefault="00A808F3" w:rsidP="00A808F3">
      <w:pPr>
        <w:pStyle w:val="3fze"/>
      </w:pPr>
      <w:r w:rsidRPr="00A808F3">
        <w:rPr>
          <w:b/>
        </w:rPr>
        <w:t>Výpisu z obchodního rejstříku</w:t>
      </w:r>
      <w:r w:rsidRPr="00A841B0">
        <w:t>, p</w:t>
      </w:r>
      <w:r>
        <w:t>okud je v něm zapsán, či výpisu</w:t>
      </w:r>
      <w:r w:rsidRPr="00A841B0">
        <w:t xml:space="preserve"> z jiné obdobné evidence, pokud je v ní zapsán, který nebude starší více než 90 kalendářních dnů</w:t>
      </w:r>
      <w:r>
        <w:t xml:space="preserve"> a</w:t>
      </w:r>
    </w:p>
    <w:p w:rsidR="00A808F3" w:rsidRPr="004F0196" w:rsidRDefault="00A808F3" w:rsidP="00A808F3">
      <w:pPr>
        <w:pStyle w:val="3fze"/>
      </w:pPr>
      <w:r w:rsidRPr="00A808F3">
        <w:rPr>
          <w:b/>
        </w:rPr>
        <w:t>dokladu o oprávnění k podnikání</w:t>
      </w:r>
      <w:r w:rsidRPr="001164D3">
        <w:t xml:space="preserve"> podle zvláštních právních předpisů v rozsahu odpovídajícím předm</w:t>
      </w:r>
      <w:r>
        <w:t>ětu této zakázky, zejména dokladu</w:t>
      </w:r>
      <w:r w:rsidRPr="001164D3">
        <w:t xml:space="preserve"> prokazujícím příslušné ži</w:t>
      </w:r>
      <w:r>
        <w:t>vnostenské oprávnění či licenci.</w:t>
      </w:r>
    </w:p>
    <w:p w:rsidR="00A808F3" w:rsidRPr="008D5C12" w:rsidRDefault="00A808F3" w:rsidP="00A808F3">
      <w:pPr>
        <w:pStyle w:val="Nadpis2"/>
      </w:pPr>
      <w:r w:rsidRPr="00CE5417">
        <w:t>Dodavatel je dále povinen prokázat ekonomickou a finanční způsobilost, a to doložením kopií</w:t>
      </w:r>
      <w:r w:rsidRPr="008D5C12">
        <w:t xml:space="preserve">: </w:t>
      </w:r>
    </w:p>
    <w:p w:rsidR="00A808F3" w:rsidRDefault="00A808F3" w:rsidP="00A808F3">
      <w:pPr>
        <w:pStyle w:val="3fze"/>
      </w:pPr>
      <w:r w:rsidRPr="008D5C12">
        <w:t xml:space="preserve">Čestného prohlášení, že má sjednáno pojištění (jehož předmětem je pojištění odpovědnosti za škodu způsobenou uchazečem třetí osobě, kde bude uvedena doba a výše pojistného plnění). Pojištění musí být uzavřeno na celou dobu trvání zakázky s limitem pojistného plnění ve výši minimálně 2 </w:t>
      </w:r>
      <w:r>
        <w:t xml:space="preserve">000 000,- Kč a </w:t>
      </w:r>
    </w:p>
    <w:p w:rsidR="00A808F3" w:rsidRPr="004F0196" w:rsidRDefault="000701B2" w:rsidP="00A808F3">
      <w:pPr>
        <w:pStyle w:val="3fze"/>
      </w:pPr>
      <w:r>
        <w:t>Č</w:t>
      </w:r>
      <w:r w:rsidR="00A808F3">
        <w:t>estného prohlášení</w:t>
      </w:r>
      <w:r w:rsidR="00A808F3" w:rsidRPr="008D5C12">
        <w:t>, že má sjednáno pojištění odpovědnosti za škodu způsobenou za únik znečišťujících látek (za škodu na životním prostředí) s minimálním pojistným limitem 2 000 000,- Kč</w:t>
      </w:r>
      <w:r w:rsidR="00A808F3">
        <w:t>.</w:t>
      </w:r>
    </w:p>
    <w:p w:rsidR="00A808F3" w:rsidRPr="00A808F3" w:rsidRDefault="00A808F3" w:rsidP="00A808F3">
      <w:pPr>
        <w:pStyle w:val="Nadpis2"/>
      </w:pPr>
      <w:r w:rsidRPr="00A808F3">
        <w:t xml:space="preserve">Dodavatel je dále povinen prokázat technické kvalifikační předpoklady, a to doložením kopií: </w:t>
      </w:r>
    </w:p>
    <w:p w:rsidR="00A808F3" w:rsidRDefault="00A808F3" w:rsidP="00A808F3">
      <w:pPr>
        <w:pStyle w:val="3fze"/>
      </w:pPr>
      <w:r>
        <w:t>Seznamu</w:t>
      </w:r>
      <w:r w:rsidRPr="00A841B0">
        <w:t xml:space="preserve"> významných prací o</w:t>
      </w:r>
      <w:r>
        <w:t>bdob</w:t>
      </w:r>
      <w:r w:rsidR="00E01363">
        <w:t>ného charakteru, realizovaných d</w:t>
      </w:r>
      <w:r w:rsidRPr="00A841B0">
        <w:t>od</w:t>
      </w:r>
      <w:r>
        <w:t xml:space="preserve">avatelem v posledních 3 letech </w:t>
      </w:r>
      <w:r w:rsidRPr="00A841B0">
        <w:t>s uvedením jejich rozsahu a doby plnění. Významnou prací se rozumí práce obdobného charakteru k předmětu této z</w:t>
      </w:r>
      <w:r w:rsidR="00E01363">
        <w:t>akázky, za níž byla poskytnuta d</w:t>
      </w:r>
      <w:r w:rsidRPr="00A841B0">
        <w:t>odavateli odměn</w:t>
      </w:r>
      <w:r>
        <w:t>a ve výši alespoň 100 000,- Kč a</w:t>
      </w:r>
    </w:p>
    <w:p w:rsidR="00A808F3" w:rsidRPr="00380B52" w:rsidRDefault="00A808F3" w:rsidP="00A808F3">
      <w:pPr>
        <w:pStyle w:val="Nadpis2"/>
      </w:pPr>
      <w:r w:rsidRPr="00380B52">
        <w:t>Ostatní požadované dokumenty:</w:t>
      </w:r>
    </w:p>
    <w:p w:rsidR="00A808F3" w:rsidRPr="00B36CD6" w:rsidRDefault="00A808F3" w:rsidP="00A808F3">
      <w:pPr>
        <w:pStyle w:val="3fze"/>
      </w:pPr>
      <w:r w:rsidRPr="008C5FAF">
        <w:rPr>
          <w:b/>
        </w:rPr>
        <w:t>Technologický postup</w:t>
      </w:r>
    </w:p>
    <w:p w:rsidR="00A808F3" w:rsidRPr="00A841B0" w:rsidRDefault="00A808F3" w:rsidP="00A808F3">
      <w:pPr>
        <w:pStyle w:val="3fze"/>
      </w:pPr>
      <w:r w:rsidRPr="006742D9">
        <w:rPr>
          <w:b/>
        </w:rPr>
        <w:t xml:space="preserve">Podepsaný návrh </w:t>
      </w:r>
      <w:r w:rsidR="000701B2">
        <w:rPr>
          <w:b/>
        </w:rPr>
        <w:t>rámcové smlouvy</w:t>
      </w:r>
      <w:r w:rsidRPr="006742D9">
        <w:rPr>
          <w:b/>
        </w:rPr>
        <w:t xml:space="preserve"> </w:t>
      </w:r>
      <w:r>
        <w:t>(viz příloha č. 1 Zadávací dokumentace).</w:t>
      </w:r>
    </w:p>
    <w:p w:rsidR="00A808F3" w:rsidRPr="00A841B0" w:rsidRDefault="00A808F3" w:rsidP="00A808F3">
      <w:pPr>
        <w:pStyle w:val="3fze"/>
      </w:pPr>
      <w:r w:rsidRPr="006742D9">
        <w:rPr>
          <w:b/>
        </w:rPr>
        <w:t>Prohlášení</w:t>
      </w:r>
      <w:r w:rsidRPr="00A841B0">
        <w:t>, že uchazeč zachová mlčenlivost o všech skutečnostech,</w:t>
      </w:r>
      <w:r>
        <w:t xml:space="preserve"> které nabyl na základě této Zadávací dokumentace, </w:t>
      </w:r>
      <w:r w:rsidRPr="00A841B0">
        <w:t>a takto nabyté údaje použije pouze pro zpracování nabídky k této zakázce. Prohlášení bude podepsané osobou oprávněnou jednat jménem či za uchazeče.</w:t>
      </w:r>
    </w:p>
    <w:p w:rsidR="00A808F3" w:rsidRPr="00A841B0" w:rsidRDefault="00A808F3" w:rsidP="00A808F3">
      <w:pPr>
        <w:pStyle w:val="3fze"/>
      </w:pPr>
      <w:r w:rsidRPr="006742D9">
        <w:rPr>
          <w:b/>
        </w:rPr>
        <w:t>Cenovou nabídku</w:t>
      </w:r>
      <w:r w:rsidRPr="00A841B0">
        <w:t xml:space="preserve"> </w:t>
      </w:r>
      <w:r>
        <w:t>zpracovanou dle článku 4. této Zadávací dokumentace.</w:t>
      </w:r>
    </w:p>
    <w:p w:rsidR="00A808F3" w:rsidRPr="00A841B0" w:rsidRDefault="00A808F3" w:rsidP="00A808F3">
      <w:pPr>
        <w:pStyle w:val="3fze"/>
      </w:pPr>
      <w:r w:rsidRPr="00A841B0">
        <w:t>Uchazeč předloží údaj, v jaké výši může poskytnout své služby k započtení náhradního plnění dle § 81 odst. 3 zákona č. 435/2004 Sb., o zaměstnanosti</w:t>
      </w:r>
      <w:r>
        <w:t xml:space="preserve">. </w:t>
      </w:r>
      <w:r w:rsidRPr="00A841B0">
        <w:t>Pokud uchazeč takový údaj předloží, bude tento pro uchazeče závazný a bude jím taktéž zapracován v předloženém návrhu smlouvy o dílo.</w:t>
      </w:r>
    </w:p>
    <w:p w:rsidR="00A808F3" w:rsidRPr="00A841B0" w:rsidRDefault="00A808F3" w:rsidP="00A808F3">
      <w:pPr>
        <w:pStyle w:val="3fze"/>
      </w:pPr>
      <w:r w:rsidRPr="006742D9">
        <w:rPr>
          <w:b/>
        </w:rPr>
        <w:t>Prohlášení,</w:t>
      </w:r>
      <w:r w:rsidRPr="00A841B0">
        <w:t xml:space="preserve"> že uchazeč bere na vě</w:t>
      </w:r>
      <w:r>
        <w:t>domí, že Z</w:t>
      </w:r>
      <w:r w:rsidRPr="00A841B0">
        <w:t xml:space="preserve">adavatel je povinen </w:t>
      </w:r>
      <w:r>
        <w:t>na základě žádosti</w:t>
      </w:r>
      <w:r w:rsidRPr="00A841B0">
        <w:t xml:space="preserve"> </w:t>
      </w:r>
      <w:r>
        <w:t>podle zákona</w:t>
      </w:r>
      <w:r w:rsidRPr="00A841B0">
        <w:t xml:space="preserve"> č. 106/1999 Sb., o svobodném přístupu k informacím, ve znění pozdějších předpis</w:t>
      </w:r>
      <w:r>
        <w:t>ů, žadateli poskytnout Z</w:t>
      </w:r>
      <w:r w:rsidRPr="00A841B0">
        <w:t xml:space="preserve">adávací dokumentaci včetně </w:t>
      </w:r>
      <w:r>
        <w:t xml:space="preserve">příslušné </w:t>
      </w:r>
      <w:r w:rsidRPr="00A841B0">
        <w:t>uzavřené smlouvy.</w:t>
      </w:r>
    </w:p>
    <w:p w:rsidR="00D56103" w:rsidRPr="00A808F3" w:rsidRDefault="00A808F3" w:rsidP="00A808F3">
      <w:pPr>
        <w:pStyle w:val="3fze"/>
      </w:pPr>
      <w:r w:rsidRPr="00A841B0">
        <w:lastRenderedPageBreak/>
        <w:t xml:space="preserve">Nabídka bude </w:t>
      </w:r>
      <w:r w:rsidRPr="006742D9">
        <w:rPr>
          <w:b/>
        </w:rPr>
        <w:t xml:space="preserve">podepsána </w:t>
      </w:r>
      <w:r>
        <w:t xml:space="preserve">osobou nebo </w:t>
      </w:r>
      <w:r w:rsidR="00E01363">
        <w:t>osobami oprávněnými zastupovat d</w:t>
      </w:r>
      <w:r>
        <w:t>odavatele.</w:t>
      </w:r>
    </w:p>
    <w:p w:rsidR="00AF26B7" w:rsidRDefault="00853849" w:rsidP="003868B8">
      <w:pPr>
        <w:pStyle w:val="1fze"/>
      </w:pPr>
      <w:r>
        <w:t>J</w:t>
      </w:r>
      <w:r w:rsidR="00AF26B7">
        <w:t>iné požadavky zadavatele</w:t>
      </w:r>
    </w:p>
    <w:p w:rsidR="00AF26B7" w:rsidRDefault="00AF26B7" w:rsidP="002718BE">
      <w:pPr>
        <w:pStyle w:val="02-ODST-2"/>
      </w:pPr>
      <w:r>
        <w:t>Zadavatel nepřipouští řešení jinou variantou, než je uvedeno v zadávací dokumentaci. Žádná osoba (</w:t>
      </w:r>
      <w:r w:rsidR="00B65A70">
        <w:t>uchazeč</w:t>
      </w:r>
      <w:r>
        <w:t xml:space="preserve">) se nesmí zúčastnit tohoto </w:t>
      </w:r>
      <w:r w:rsidR="00631FDE">
        <w:t xml:space="preserve">výběrového </w:t>
      </w:r>
      <w:r>
        <w:t>řízení jako uchazeč více než jednou.</w:t>
      </w:r>
    </w:p>
    <w:p w:rsidR="00AF26B7" w:rsidRDefault="00AF26B7" w:rsidP="002718BE">
      <w:pPr>
        <w:pStyle w:val="02-ODST-2"/>
      </w:pPr>
      <w:r>
        <w:t xml:space="preserve">V případě, že vznikne rozpor mezi údaji o zakázce obsaženými v různých částech zadávací dokumentace, jsou pro zpracování nabídky podstatné údaje obsažené v </w:t>
      </w:r>
      <w:r w:rsidR="00453EA2">
        <w:t>příloze č. 1 této ZD</w:t>
      </w:r>
      <w:r>
        <w:t>.</w:t>
      </w:r>
    </w:p>
    <w:p w:rsidR="00AF26B7" w:rsidRDefault="00AF26B7" w:rsidP="002718BE">
      <w:pPr>
        <w:pStyle w:val="02-ODST-2"/>
      </w:pPr>
      <w:r>
        <w:t>Náklady uchazečů spojené s účastí v</w:t>
      </w:r>
      <w:r w:rsidR="00631FDE">
        <w:t>e</w:t>
      </w:r>
      <w:r>
        <w:t xml:space="preserve"> </w:t>
      </w:r>
      <w:r w:rsidR="00631FDE">
        <w:t>výběrovém</w:t>
      </w:r>
      <w:r>
        <w:t xml:space="preserve"> řízení zadavatel nehradí.</w:t>
      </w:r>
    </w:p>
    <w:p w:rsidR="00AF26B7" w:rsidRPr="00691F95" w:rsidRDefault="00AF26B7" w:rsidP="002718BE">
      <w:pPr>
        <w:pStyle w:val="02-ODST-2"/>
      </w:pPr>
      <w:r>
        <w:t>Nabídky ne</w:t>
      </w:r>
      <w:r w:rsidRPr="00691F95">
        <w:t>budou uchazečům vráceny a zůstávají majetkem zadavatele.</w:t>
      </w:r>
    </w:p>
    <w:p w:rsidR="00AF26B7" w:rsidRPr="00691F95" w:rsidRDefault="00AF26B7" w:rsidP="002718BE">
      <w:pPr>
        <w:pStyle w:val="02-ODST-2"/>
      </w:pPr>
      <w:r w:rsidRPr="00691F95">
        <w:t>Nabídky, které budou doručeny po uplynutí lhůty pro podání nabídek</w:t>
      </w:r>
      <w:r w:rsidR="00691F95">
        <w:t>,</w:t>
      </w:r>
      <w:r w:rsidR="00691F95" w:rsidRPr="00691F95">
        <w:t xml:space="preserve"> nebudou</w:t>
      </w:r>
      <w:r w:rsidRPr="00691F95">
        <w:t xml:space="preserve"> </w:t>
      </w:r>
      <w:r w:rsidR="00691F95" w:rsidRPr="00691F95">
        <w:t>posuzovány ani hodnoceny</w:t>
      </w:r>
      <w:r w:rsidRPr="00691F95">
        <w:t>.</w:t>
      </w:r>
    </w:p>
    <w:p w:rsidR="00AF26B7" w:rsidRPr="00724C1E" w:rsidRDefault="00AF26B7" w:rsidP="002718BE">
      <w:pPr>
        <w:pStyle w:val="02-ODST-2"/>
      </w:pPr>
      <w:r w:rsidRPr="00724C1E">
        <w:t>Pokud nabídka nebude úplná nebo v ní nebudou obsaženy veškeré doklady a informace stanovené touto zadávací dokumentací, vyhrazuje si zadavatel právo nabídku vyřadit.</w:t>
      </w:r>
    </w:p>
    <w:p w:rsidR="00AF26B7" w:rsidRDefault="00AF26B7" w:rsidP="002718BE">
      <w:pPr>
        <w:pStyle w:val="02-ODST-2"/>
      </w:pPr>
      <w:r>
        <w:t xml:space="preserve">Zadavatel si vyhrazuje právo </w:t>
      </w:r>
      <w:r w:rsidR="00453EA2">
        <w:t xml:space="preserve">nejpozději </w:t>
      </w:r>
      <w:r>
        <w:t>před rozhodnutím o výběru nejvhodnější nabídky ověřit, případně vyjasnit informace deklarované uchazeči v nabídce.</w:t>
      </w:r>
    </w:p>
    <w:p w:rsidR="00AF26B7" w:rsidRPr="00A00BF0" w:rsidRDefault="00AF26B7" w:rsidP="002718BE">
      <w:pPr>
        <w:pStyle w:val="02-ODST-2"/>
      </w:pPr>
      <w:r w:rsidRPr="00A00BF0">
        <w:t xml:space="preserve">Zadavatel si vyhrazuje právo v rámci </w:t>
      </w:r>
      <w:r w:rsidR="00631FDE" w:rsidRPr="00A00BF0">
        <w:t xml:space="preserve">výběrového </w:t>
      </w:r>
      <w:r w:rsidRPr="00A00BF0">
        <w:t>řízení jednat o všech částech nabídky uchazeče.</w:t>
      </w:r>
    </w:p>
    <w:p w:rsidR="00AF26B7" w:rsidRDefault="00AF26B7" w:rsidP="002718BE">
      <w:pPr>
        <w:pStyle w:val="02-ODST-2"/>
      </w:pPr>
      <w:r>
        <w:t xml:space="preserve">Komunikačním jazykem pro veškerá jednání v rámci </w:t>
      </w:r>
      <w:r w:rsidR="00631FDE">
        <w:t xml:space="preserve">výběrového </w:t>
      </w:r>
      <w:r>
        <w:t xml:space="preserve">řízení je stanovena čeština, nepřipustí-li zadavatel výslovně jinak. </w:t>
      </w:r>
    </w:p>
    <w:p w:rsidR="00AF26B7" w:rsidRDefault="00AF26B7" w:rsidP="002718BE">
      <w:pPr>
        <w:pStyle w:val="02-ODST-2"/>
      </w:pPr>
      <w:r>
        <w:t>Zadavatel si vyhrazuje právo kdykoliv v</w:t>
      </w:r>
      <w:r w:rsidR="00631FDE">
        <w:t> </w:t>
      </w:r>
      <w:r>
        <w:t>průběhu</w:t>
      </w:r>
      <w:r w:rsidR="00631FDE">
        <w:t xml:space="preserve"> výběrového</w:t>
      </w:r>
      <w:r>
        <w:t xml:space="preserve"> řízení toto řízení ukončit a zrušit bez udání důvodu, odmítnout všechny nabídky a neuzavřít smlouvu s žádným z uchazečů.</w:t>
      </w:r>
    </w:p>
    <w:p w:rsidR="00021621" w:rsidRPr="0076594C" w:rsidRDefault="00021621" w:rsidP="002718BE">
      <w:pPr>
        <w:pStyle w:val="02-ODST-2"/>
      </w:pPr>
      <w:r w:rsidRPr="0076594C">
        <w:t>Zadavatel oznámí výběr nejvhodnější nabídky všem uchazečům, kteří podali nabídku. Zadavatel výslovně stanoví, že přijetím nabídky a obdržením rozhodnutí o výběru nejvhodnější nabídky nedochází k uzavření smlouvy.</w:t>
      </w:r>
    </w:p>
    <w:p w:rsidR="00021621" w:rsidRPr="0076594C" w:rsidRDefault="00021621" w:rsidP="002718BE">
      <w:pPr>
        <w:pStyle w:val="02-ODST-2"/>
      </w:pPr>
      <w:r w:rsidRPr="0076594C">
        <w:t xml:space="preserve">V souladu s </w:t>
      </w:r>
      <w:proofErr w:type="spellStart"/>
      <w:r w:rsidRPr="0076594C">
        <w:t>ust</w:t>
      </w:r>
      <w:proofErr w:type="spellEnd"/>
      <w:r w:rsidRPr="0076594C">
        <w:t>. § 1740 odst. 3 poslední věta zákona č. 89/2012 Sb., občanský zákoník, v platném znění</w:t>
      </w:r>
      <w:r>
        <w:t>,</w:t>
      </w:r>
      <w:r w:rsidRPr="0076594C">
        <w:t xml:space="preserve"> platí, že předložení ze strany uchazeče podepsaného návrhu </w:t>
      </w:r>
      <w:r w:rsidR="00453EA2">
        <w:t xml:space="preserve">rámcové </w:t>
      </w:r>
      <w:r w:rsidRPr="0076594C">
        <w:t>smlouvy</w:t>
      </w:r>
      <w:r>
        <w:t xml:space="preserve"> o dílo</w:t>
      </w:r>
      <w:r w:rsidRPr="0076594C">
        <w:t xml:space="preserve"> s dodatkem nebo odchylkou oproti závaznému vzoru nezakládá povinnost zadavatele takovou odchylku nebo dodatek akceptovat.</w:t>
      </w:r>
    </w:p>
    <w:p w:rsidR="00021621" w:rsidRDefault="00021621" w:rsidP="004E0E07">
      <w:pPr>
        <w:pStyle w:val="02-ODST-2"/>
      </w:pPr>
      <w:r w:rsidRPr="00537058">
        <w:t>Pro uzavření smlouvy</w:t>
      </w:r>
      <w:r>
        <w:t xml:space="preserve"> na základě tohoto výběrového řízení</w:t>
      </w:r>
      <w:r w:rsidRPr="00537058">
        <w:t xml:space="preserve"> je </w:t>
      </w:r>
      <w:r w:rsidR="00185D5D">
        <w:t>povinn</w:t>
      </w:r>
      <w:r w:rsidRPr="00537058">
        <w:t>ě stanovena písemná listinná podoba s tím, že smlouva</w:t>
      </w:r>
      <w:r>
        <w:t xml:space="preserve"> </w:t>
      </w:r>
      <w:r w:rsidRPr="00537058">
        <w:t>musí být podepsána oprávněnými zástupci obou smluvních stran.</w:t>
      </w:r>
    </w:p>
    <w:p w:rsidR="006742D9" w:rsidRDefault="006742D9" w:rsidP="006742D9">
      <w:pPr>
        <w:pStyle w:val="1fze"/>
      </w:pPr>
      <w:r>
        <w:t>Výběrové řízení (způsob, místo, lhůta pro podání nabídky)</w:t>
      </w:r>
    </w:p>
    <w:p w:rsidR="006742D9" w:rsidRPr="006742D9" w:rsidRDefault="006742D9" w:rsidP="006742D9">
      <w:pPr>
        <w:pStyle w:val="Nadpis2"/>
      </w:pPr>
      <w:r w:rsidRPr="006742D9">
        <w:t>Zahájení výběrového řízení</w:t>
      </w:r>
    </w:p>
    <w:p w:rsidR="006742D9" w:rsidRPr="00164C09" w:rsidRDefault="006742D9" w:rsidP="006742D9">
      <w:pPr>
        <w:pStyle w:val="3fze"/>
      </w:pPr>
      <w:r w:rsidRPr="00164C09">
        <w:t xml:space="preserve">Výběrové řízení je zahájeno uveřejněním Zadávací dokumentace včetně všech příloh na oficiálním </w:t>
      </w:r>
      <w:hyperlink r:id="rId12" w:history="1">
        <w:r w:rsidRPr="00164C09">
          <w:rPr>
            <w:rStyle w:val="Hypertextovodkaz"/>
            <w:rFonts w:cs="Arial"/>
          </w:rPr>
          <w:t>profilu Zadavatele</w:t>
        </w:r>
      </w:hyperlink>
      <w:r w:rsidRPr="00164C09">
        <w:t xml:space="preserve"> (</w:t>
      </w:r>
      <w:hyperlink r:id="rId13" w:history="1">
        <w:r w:rsidRPr="00164C09">
          <w:rPr>
            <w:rStyle w:val="Hypertextovodkaz"/>
            <w:rFonts w:cs="Arial"/>
          </w:rPr>
          <w:t>www.softender.cz</w:t>
        </w:r>
      </w:hyperlink>
      <w:r w:rsidRPr="00164C09">
        <w:t>).</w:t>
      </w:r>
    </w:p>
    <w:p w:rsidR="006742D9" w:rsidRPr="00164C09" w:rsidRDefault="006742D9" w:rsidP="006742D9">
      <w:pPr>
        <w:pStyle w:val="Nadpis2"/>
      </w:pPr>
      <w:r w:rsidRPr="00164C09">
        <w:t>Místo a způsob podání nabídky</w:t>
      </w:r>
    </w:p>
    <w:p w:rsidR="006742D9" w:rsidRDefault="006742D9" w:rsidP="006742D9">
      <w:pPr>
        <w:pStyle w:val="3fze"/>
      </w:pPr>
      <w:r>
        <w:t xml:space="preserve">Nabídka musí být vyhotovena a doručena: </w:t>
      </w:r>
    </w:p>
    <w:p w:rsidR="006742D9" w:rsidRDefault="006742D9" w:rsidP="006742D9">
      <w:pPr>
        <w:pStyle w:val="02-ODST-2"/>
        <w:numPr>
          <w:ilvl w:val="0"/>
          <w:numId w:val="0"/>
        </w:numPr>
        <w:tabs>
          <w:tab w:val="clear" w:pos="567"/>
          <w:tab w:val="left" w:pos="709"/>
        </w:tabs>
        <w:ind w:left="851" w:hanging="142"/>
        <w:rPr>
          <w:rFonts w:cs="Arial"/>
        </w:rPr>
      </w:pPr>
      <w:r>
        <w:rPr>
          <w:rFonts w:cs="Arial"/>
        </w:rPr>
        <w:t xml:space="preserve">- Písemně v elektronické podobě prostřednictvím </w:t>
      </w:r>
      <w:hyperlink r:id="rId14" w:history="1">
        <w:r w:rsidRPr="00424294">
          <w:rPr>
            <w:rStyle w:val="Hypertextovodkaz"/>
            <w:rFonts w:cs="Arial"/>
          </w:rPr>
          <w:t>profilu Zadavatele</w:t>
        </w:r>
      </w:hyperlink>
      <w:r>
        <w:rPr>
          <w:rFonts w:cs="Arial"/>
        </w:rPr>
        <w:t xml:space="preserve"> </w:t>
      </w:r>
    </w:p>
    <w:p w:rsidR="006742D9" w:rsidRPr="00164C09" w:rsidRDefault="006742D9" w:rsidP="006742D9">
      <w:pPr>
        <w:pStyle w:val="Nadpis2"/>
      </w:pPr>
      <w:r w:rsidRPr="00164C09">
        <w:t>Lhůta pro podání nabídky</w:t>
      </w:r>
    </w:p>
    <w:p w:rsidR="006742D9" w:rsidRPr="006742D9" w:rsidRDefault="006742D9" w:rsidP="006742D9">
      <w:pPr>
        <w:pStyle w:val="3fze"/>
      </w:pPr>
      <w:r>
        <w:t>Nabídku je n</w:t>
      </w:r>
      <w:r w:rsidR="009B00BA">
        <w:t>utné doručit nejpozději do 25</w:t>
      </w:r>
      <w:r w:rsidR="000701B2">
        <w:t>. 5</w:t>
      </w:r>
      <w:r>
        <w:t>.2015</w:t>
      </w:r>
      <w:r w:rsidRPr="00164C09">
        <w:t xml:space="preserve"> do </w:t>
      </w:r>
      <w:r>
        <w:t>10:00 hodin.</w:t>
      </w:r>
    </w:p>
    <w:p w:rsidR="00AF26B7" w:rsidRDefault="00AF26B7" w:rsidP="004131A1">
      <w:pPr>
        <w:pStyle w:val="1fze"/>
      </w:pPr>
      <w:r>
        <w:lastRenderedPageBreak/>
        <w:t>Přílohy</w:t>
      </w:r>
    </w:p>
    <w:p w:rsidR="00A557E3" w:rsidRDefault="00223DC8" w:rsidP="00A557E3">
      <w:pPr>
        <w:pStyle w:val="02-ODST-2"/>
        <w:numPr>
          <w:ilvl w:val="0"/>
          <w:numId w:val="0"/>
        </w:numPr>
      </w:pPr>
      <w:r>
        <w:t>Nedílnou součástí této z</w:t>
      </w:r>
      <w:r w:rsidR="00A557E3">
        <w:t>adávací dokumentace jsou přílohy:</w:t>
      </w:r>
    </w:p>
    <w:p w:rsidR="00A557E3" w:rsidRDefault="00A557E3" w:rsidP="00A557E3">
      <w:pPr>
        <w:tabs>
          <w:tab w:val="left" w:pos="567"/>
        </w:tabs>
        <w:ind w:left="360"/>
        <w:rPr>
          <w:rFonts w:cs="Arial"/>
        </w:rPr>
      </w:pPr>
      <w:r>
        <w:rPr>
          <w:rFonts w:cs="Arial"/>
        </w:rPr>
        <w:tab/>
        <w:t xml:space="preserve">Příloha č. 1 – Návrh </w:t>
      </w:r>
      <w:r w:rsidR="000701B2">
        <w:rPr>
          <w:rFonts w:cs="Arial"/>
        </w:rPr>
        <w:t>rámcové smlouvy</w:t>
      </w:r>
    </w:p>
    <w:p w:rsidR="00A557E3" w:rsidRDefault="00A557E3" w:rsidP="00A557E3">
      <w:pPr>
        <w:tabs>
          <w:tab w:val="left" w:pos="567"/>
        </w:tabs>
        <w:ind w:left="360"/>
        <w:rPr>
          <w:rFonts w:cs="Arial"/>
        </w:rPr>
      </w:pPr>
      <w:r>
        <w:rPr>
          <w:rFonts w:cs="Arial"/>
        </w:rPr>
        <w:tab/>
        <w:t>Příloha č. 2 – Krycí list nabídky</w:t>
      </w:r>
    </w:p>
    <w:p w:rsidR="00A557E3" w:rsidRDefault="00A557E3" w:rsidP="00A557E3">
      <w:pPr>
        <w:tabs>
          <w:tab w:val="left" w:pos="567"/>
        </w:tabs>
        <w:ind w:left="360"/>
        <w:rPr>
          <w:rFonts w:cs="Arial"/>
        </w:rPr>
      </w:pPr>
      <w:r>
        <w:rPr>
          <w:rFonts w:cs="Arial"/>
        </w:rPr>
        <w:tab/>
        <w:t>Příloha č. 3 – Položkový rozpočet</w:t>
      </w:r>
    </w:p>
    <w:p w:rsidR="00853849" w:rsidRPr="008B6F18" w:rsidRDefault="00853849" w:rsidP="00AF26B7">
      <w:pPr>
        <w:rPr>
          <w:highlight w:val="green"/>
        </w:rPr>
      </w:pPr>
    </w:p>
    <w:p w:rsidR="00AF26B7" w:rsidRDefault="00984EC2" w:rsidP="00AF26B7">
      <w:r w:rsidRPr="009102CB">
        <w:t xml:space="preserve">V Praze dne </w:t>
      </w:r>
      <w:r w:rsidR="009B00BA">
        <w:t>18. 5. 2015</w:t>
      </w:r>
    </w:p>
    <w:p w:rsidR="00231D7B" w:rsidRDefault="00231D7B" w:rsidP="00AF26B7"/>
    <w:p w:rsidR="00AF26B7" w:rsidRDefault="00AF26B7" w:rsidP="00AF26B7">
      <w:r>
        <w:t>Odbor centrálního nákupu, ČEPRO, a. s.</w:t>
      </w:r>
    </w:p>
    <w:sectPr w:rsidR="00AF26B7" w:rsidSect="00403D5D">
      <w:headerReference w:type="default" r:id="rId15"/>
      <w:footerReference w:type="default" r:id="rId16"/>
      <w:pgSz w:w="11906" w:h="16838"/>
      <w:pgMar w:top="1702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727" w:rsidRDefault="00AD5727">
      <w:r>
        <w:separator/>
      </w:r>
    </w:p>
  </w:endnote>
  <w:endnote w:type="continuationSeparator" w:id="0">
    <w:p w:rsidR="00AD5727" w:rsidRDefault="00AD5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356230B" wp14:editId="5A8B455F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9E5E97" w:rsidRDefault="009E5E97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2143BF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2143BF">
      <w:rPr>
        <w:rStyle w:val="slostrnky"/>
        <w:noProof/>
      </w:rPr>
      <w:t>7</w:t>
    </w:r>
    <w:r>
      <w:rPr>
        <w:rStyle w:val="slostrnky"/>
      </w:rPr>
      <w:fldChar w:fldCharType="end"/>
    </w:r>
  </w:p>
  <w:p w:rsidR="009E5E97" w:rsidRDefault="009E5E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727" w:rsidRDefault="00AD5727">
      <w:r>
        <w:separator/>
      </w:r>
    </w:p>
  </w:footnote>
  <w:footnote w:type="continuationSeparator" w:id="0">
    <w:p w:rsidR="00AD5727" w:rsidRDefault="00AD5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hlav"/>
    </w:pPr>
    <w:r>
      <w:rPr>
        <w:noProof/>
      </w:rPr>
      <w:drawing>
        <wp:anchor distT="0" distB="0" distL="114300" distR="114300" simplePos="0" relativeHeight="251659776" behindDoc="0" locked="0" layoutInCell="1" allowOverlap="1" wp14:anchorId="4EBDD14B" wp14:editId="63130BA7">
          <wp:simplePos x="0" y="0"/>
          <wp:positionH relativeFrom="column">
            <wp:posOffset>1685763</wp:posOffset>
          </wp:positionH>
          <wp:positionV relativeFrom="paragraph">
            <wp:posOffset>-148590</wp:posOffset>
          </wp:positionV>
          <wp:extent cx="2857500" cy="560705"/>
          <wp:effectExtent l="0" t="0" r="0" b="0"/>
          <wp:wrapNone/>
          <wp:docPr id="2" name="obrázek 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36BC"/>
    <w:multiLevelType w:val="multilevel"/>
    <w:tmpl w:val="0FB63976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8361C"/>
    <w:multiLevelType w:val="hybridMultilevel"/>
    <w:tmpl w:val="F9AAA21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5635B7B"/>
    <w:multiLevelType w:val="hybridMultilevel"/>
    <w:tmpl w:val="817A98C2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66A3880"/>
    <w:multiLevelType w:val="hybridMultilevel"/>
    <w:tmpl w:val="F7FC1808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0B6D195A"/>
    <w:multiLevelType w:val="multilevel"/>
    <w:tmpl w:val="6F929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Odstavec3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6">
    <w:nsid w:val="260E31CE"/>
    <w:multiLevelType w:val="hybridMultilevel"/>
    <w:tmpl w:val="FEAC9642"/>
    <w:lvl w:ilvl="0" w:tplc="F0F2306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AE56BDEC">
      <w:start w:val="1"/>
      <w:numFmt w:val="lowerLetter"/>
      <w:lvlText w:val="%3)"/>
      <w:lvlJc w:val="left"/>
      <w:pPr>
        <w:tabs>
          <w:tab w:val="num" w:pos="2367"/>
        </w:tabs>
        <w:ind w:left="2367" w:hanging="360"/>
      </w:pPr>
      <w:rPr>
        <w:rFonts w:ascii="Arial" w:eastAsia="Times New Roman" w:hAnsi="Arial" w:cs="Times New Roman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D1DEF024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2C1132CA"/>
    <w:multiLevelType w:val="hybridMultilevel"/>
    <w:tmpl w:val="00E21A18"/>
    <w:lvl w:ilvl="0" w:tplc="A77CB17A">
      <w:start w:val="1"/>
      <w:numFmt w:val="lowerLetter"/>
      <w:lvlText w:val="%1)"/>
      <w:lvlJc w:val="left"/>
      <w:pPr>
        <w:ind w:left="1407" w:hanging="8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2E70907"/>
    <w:multiLevelType w:val="hybridMultilevel"/>
    <w:tmpl w:val="03AAC988"/>
    <w:lvl w:ilvl="0" w:tplc="0405000B">
      <w:start w:val="1"/>
      <w:numFmt w:val="bullet"/>
      <w:lvlText w:val=""/>
      <w:lvlJc w:val="left"/>
      <w:pPr>
        <w:ind w:left="190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9">
    <w:nsid w:val="34AB4E7E"/>
    <w:multiLevelType w:val="hybridMultilevel"/>
    <w:tmpl w:val="8CE6F3B0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35525481"/>
    <w:multiLevelType w:val="multilevel"/>
    <w:tmpl w:val="3B3A889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D83299"/>
    <w:multiLevelType w:val="multilevel"/>
    <w:tmpl w:val="B600B85A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3EF50E7A"/>
    <w:multiLevelType w:val="multilevel"/>
    <w:tmpl w:val="26588B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>
    <w:nsid w:val="40A11387"/>
    <w:multiLevelType w:val="hybridMultilevel"/>
    <w:tmpl w:val="2D4868B8"/>
    <w:lvl w:ilvl="0" w:tplc="1696F7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647AD3"/>
    <w:multiLevelType w:val="hybridMultilevel"/>
    <w:tmpl w:val="9C68D28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05005"/>
    <w:multiLevelType w:val="hybridMultilevel"/>
    <w:tmpl w:val="1A0A53C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27165C"/>
    <w:multiLevelType w:val="multilevel"/>
    <w:tmpl w:val="7F6859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0DB1CA7"/>
    <w:multiLevelType w:val="multilevel"/>
    <w:tmpl w:val="E05E30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569A28B0"/>
    <w:multiLevelType w:val="hybridMultilevel"/>
    <w:tmpl w:val="5A4C6C42"/>
    <w:lvl w:ilvl="0" w:tplc="0405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3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4">
    <w:nsid w:val="5CD51386"/>
    <w:multiLevelType w:val="hybridMultilevel"/>
    <w:tmpl w:val="4E64AD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4202F"/>
    <w:multiLevelType w:val="multilevel"/>
    <w:tmpl w:val="D470579A"/>
    <w:lvl w:ilvl="0">
      <w:start w:val="1"/>
      <w:numFmt w:val="ordinal"/>
      <w:pStyle w:val="1fze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506"/>
        </w:tabs>
        <w:ind w:left="993" w:hanging="567"/>
      </w:pPr>
      <w:rPr>
        <w:rFonts w:hint="default"/>
        <w:b/>
      </w:rPr>
    </w:lvl>
    <w:lvl w:ilvl="2">
      <w:start w:val="1"/>
      <w:numFmt w:val="ordinal"/>
      <w:pStyle w:val="3fze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4fze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6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pStyle w:val="ZKON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7">
    <w:nsid w:val="6D2E41FE"/>
    <w:multiLevelType w:val="hybridMultilevel"/>
    <w:tmpl w:val="FBBC076C"/>
    <w:lvl w:ilvl="0" w:tplc="2EB063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815AE0"/>
    <w:multiLevelType w:val="multilevel"/>
    <w:tmpl w:val="69D8EBEE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9">
    <w:nsid w:val="725C062B"/>
    <w:multiLevelType w:val="multilevel"/>
    <w:tmpl w:val="5CE89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A376C2F"/>
    <w:multiLevelType w:val="hybridMultilevel"/>
    <w:tmpl w:val="1ED8CCF4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>
    <w:nsid w:val="7DDB0DD6"/>
    <w:multiLevelType w:val="hybridMultilevel"/>
    <w:tmpl w:val="A4A6EFC6"/>
    <w:lvl w:ilvl="0" w:tplc="11509F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5"/>
  </w:num>
  <w:num w:numId="4">
    <w:abstractNumId w:val="5"/>
  </w:num>
  <w:num w:numId="5">
    <w:abstractNumId w:val="21"/>
  </w:num>
  <w:num w:numId="6">
    <w:abstractNumId w:val="11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1"/>
  </w:num>
  <w:num w:numId="10">
    <w:abstractNumId w:val="1"/>
  </w:num>
  <w:num w:numId="11">
    <w:abstractNumId w:val="16"/>
  </w:num>
  <w:num w:numId="12">
    <w:abstractNumId w:val="9"/>
  </w:num>
  <w:num w:numId="13">
    <w:abstractNumId w:val="2"/>
  </w:num>
  <w:num w:numId="14">
    <w:abstractNumId w:val="30"/>
  </w:num>
  <w:num w:numId="15">
    <w:abstractNumId w:val="22"/>
  </w:num>
  <w:num w:numId="16">
    <w:abstractNumId w:val="18"/>
  </w:num>
  <w:num w:numId="17">
    <w:abstractNumId w:val="26"/>
  </w:num>
  <w:num w:numId="18">
    <w:abstractNumId w:val="15"/>
  </w:num>
  <w:num w:numId="19">
    <w:abstractNumId w:val="17"/>
  </w:num>
  <w:num w:numId="20">
    <w:abstractNumId w:val="8"/>
  </w:num>
  <w:num w:numId="21">
    <w:abstractNumId w:val="11"/>
  </w:num>
  <w:num w:numId="2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"/>
  </w:num>
  <w:num w:numId="25">
    <w:abstractNumId w:val="29"/>
  </w:num>
  <w:num w:numId="26">
    <w:abstractNumId w:val="10"/>
  </w:num>
  <w:num w:numId="27">
    <w:abstractNumId w:val="20"/>
  </w:num>
  <w:num w:numId="28">
    <w:abstractNumId w:val="19"/>
  </w:num>
  <w:num w:numId="29">
    <w:abstractNumId w:val="28"/>
  </w:num>
  <w:num w:numId="30">
    <w:abstractNumId w:val="0"/>
  </w:num>
  <w:num w:numId="31">
    <w:abstractNumId w:val="14"/>
  </w:num>
  <w:num w:numId="32">
    <w:abstractNumId w:val="27"/>
  </w:num>
  <w:num w:numId="33">
    <w:abstractNumId w:val="7"/>
  </w:num>
  <w:num w:numId="34">
    <w:abstractNumId w:val="24"/>
  </w:num>
  <w:num w:numId="35">
    <w:abstractNumId w:val="25"/>
  </w:num>
  <w:num w:numId="36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411"/>
    <w:rsid w:val="00002754"/>
    <w:rsid w:val="00003963"/>
    <w:rsid w:val="00007CE1"/>
    <w:rsid w:val="000112D3"/>
    <w:rsid w:val="000126F2"/>
    <w:rsid w:val="00012C52"/>
    <w:rsid w:val="00021621"/>
    <w:rsid w:val="00034D0A"/>
    <w:rsid w:val="0005086B"/>
    <w:rsid w:val="000619AF"/>
    <w:rsid w:val="00064115"/>
    <w:rsid w:val="000701B2"/>
    <w:rsid w:val="00070FF1"/>
    <w:rsid w:val="00070FFC"/>
    <w:rsid w:val="00071B04"/>
    <w:rsid w:val="00074602"/>
    <w:rsid w:val="00075F6E"/>
    <w:rsid w:val="00077BBB"/>
    <w:rsid w:val="000801CE"/>
    <w:rsid w:val="00084721"/>
    <w:rsid w:val="00091F6C"/>
    <w:rsid w:val="00096E1D"/>
    <w:rsid w:val="000A0DAA"/>
    <w:rsid w:val="000A0E5B"/>
    <w:rsid w:val="000A6D07"/>
    <w:rsid w:val="000A7F59"/>
    <w:rsid w:val="000B021F"/>
    <w:rsid w:val="000C2A3D"/>
    <w:rsid w:val="000C3064"/>
    <w:rsid w:val="000D19D8"/>
    <w:rsid w:val="000D5A72"/>
    <w:rsid w:val="000E0096"/>
    <w:rsid w:val="000E0863"/>
    <w:rsid w:val="000E621C"/>
    <w:rsid w:val="000F42B0"/>
    <w:rsid w:val="0010373C"/>
    <w:rsid w:val="00117E25"/>
    <w:rsid w:val="0012140A"/>
    <w:rsid w:val="00133126"/>
    <w:rsid w:val="0016094E"/>
    <w:rsid w:val="001655E6"/>
    <w:rsid w:val="00183C19"/>
    <w:rsid w:val="001843E8"/>
    <w:rsid w:val="00185D5D"/>
    <w:rsid w:val="00187FF4"/>
    <w:rsid w:val="001904BD"/>
    <w:rsid w:val="001A0FBC"/>
    <w:rsid w:val="001A138A"/>
    <w:rsid w:val="001B1A97"/>
    <w:rsid w:val="001B349F"/>
    <w:rsid w:val="001B45CC"/>
    <w:rsid w:val="001C080B"/>
    <w:rsid w:val="001C48C5"/>
    <w:rsid w:val="001C5382"/>
    <w:rsid w:val="001D59CD"/>
    <w:rsid w:val="001D5B3C"/>
    <w:rsid w:val="001D5FCD"/>
    <w:rsid w:val="001E2653"/>
    <w:rsid w:val="001E2D87"/>
    <w:rsid w:val="001E434F"/>
    <w:rsid w:val="001E5253"/>
    <w:rsid w:val="001F02A4"/>
    <w:rsid w:val="001F66E4"/>
    <w:rsid w:val="00205625"/>
    <w:rsid w:val="002063DC"/>
    <w:rsid w:val="00207C57"/>
    <w:rsid w:val="00213465"/>
    <w:rsid w:val="002143BF"/>
    <w:rsid w:val="00215599"/>
    <w:rsid w:val="0021642E"/>
    <w:rsid w:val="00220BED"/>
    <w:rsid w:val="002222D7"/>
    <w:rsid w:val="002229EF"/>
    <w:rsid w:val="00223DC8"/>
    <w:rsid w:val="00225234"/>
    <w:rsid w:val="00231D7B"/>
    <w:rsid w:val="002342EB"/>
    <w:rsid w:val="0023700B"/>
    <w:rsid w:val="00240687"/>
    <w:rsid w:val="0024344B"/>
    <w:rsid w:val="0025498C"/>
    <w:rsid w:val="00257CAD"/>
    <w:rsid w:val="00262AF2"/>
    <w:rsid w:val="002641A3"/>
    <w:rsid w:val="002718BE"/>
    <w:rsid w:val="002813F9"/>
    <w:rsid w:val="00282537"/>
    <w:rsid w:val="002828CC"/>
    <w:rsid w:val="002866C3"/>
    <w:rsid w:val="00286BD0"/>
    <w:rsid w:val="00287681"/>
    <w:rsid w:val="002879EE"/>
    <w:rsid w:val="002928D9"/>
    <w:rsid w:val="002A0305"/>
    <w:rsid w:val="002A1D2E"/>
    <w:rsid w:val="002B5AC8"/>
    <w:rsid w:val="002B79F2"/>
    <w:rsid w:val="002B7FB8"/>
    <w:rsid w:val="002C09C3"/>
    <w:rsid w:val="002C314C"/>
    <w:rsid w:val="002E3D96"/>
    <w:rsid w:val="002F23E2"/>
    <w:rsid w:val="002F50E4"/>
    <w:rsid w:val="003042D8"/>
    <w:rsid w:val="00305DF7"/>
    <w:rsid w:val="00312F6D"/>
    <w:rsid w:val="003153C0"/>
    <w:rsid w:val="003156E0"/>
    <w:rsid w:val="00316209"/>
    <w:rsid w:val="00316D5A"/>
    <w:rsid w:val="00324D75"/>
    <w:rsid w:val="00336DFD"/>
    <w:rsid w:val="00345ADB"/>
    <w:rsid w:val="003467A6"/>
    <w:rsid w:val="00352863"/>
    <w:rsid w:val="00353261"/>
    <w:rsid w:val="00353F8D"/>
    <w:rsid w:val="0035626F"/>
    <w:rsid w:val="00363594"/>
    <w:rsid w:val="00377791"/>
    <w:rsid w:val="003868B8"/>
    <w:rsid w:val="00390346"/>
    <w:rsid w:val="00393734"/>
    <w:rsid w:val="00393EC1"/>
    <w:rsid w:val="003A6C1E"/>
    <w:rsid w:val="003B26C8"/>
    <w:rsid w:val="003B480C"/>
    <w:rsid w:val="003B4D14"/>
    <w:rsid w:val="003C0791"/>
    <w:rsid w:val="003C2989"/>
    <w:rsid w:val="003D219A"/>
    <w:rsid w:val="003D46ED"/>
    <w:rsid w:val="003D4FC5"/>
    <w:rsid w:val="003D76CC"/>
    <w:rsid w:val="003E28C8"/>
    <w:rsid w:val="003E61E4"/>
    <w:rsid w:val="003E6B02"/>
    <w:rsid w:val="003F40C2"/>
    <w:rsid w:val="003F6953"/>
    <w:rsid w:val="00400555"/>
    <w:rsid w:val="00403D5D"/>
    <w:rsid w:val="00407F83"/>
    <w:rsid w:val="004131A1"/>
    <w:rsid w:val="00422EB1"/>
    <w:rsid w:val="00425D11"/>
    <w:rsid w:val="00426D8D"/>
    <w:rsid w:val="004311A4"/>
    <w:rsid w:val="00431A7A"/>
    <w:rsid w:val="00436512"/>
    <w:rsid w:val="00436E49"/>
    <w:rsid w:val="00447F7F"/>
    <w:rsid w:val="004517CD"/>
    <w:rsid w:val="00452526"/>
    <w:rsid w:val="004526A8"/>
    <w:rsid w:val="004536B8"/>
    <w:rsid w:val="00453EA2"/>
    <w:rsid w:val="00457456"/>
    <w:rsid w:val="00475958"/>
    <w:rsid w:val="00482252"/>
    <w:rsid w:val="00490AB1"/>
    <w:rsid w:val="004A012A"/>
    <w:rsid w:val="004A1820"/>
    <w:rsid w:val="004B0A61"/>
    <w:rsid w:val="004B3C41"/>
    <w:rsid w:val="004B63C9"/>
    <w:rsid w:val="004C1BAB"/>
    <w:rsid w:val="004C4B8F"/>
    <w:rsid w:val="004C66E9"/>
    <w:rsid w:val="004C7E07"/>
    <w:rsid w:val="004D0C82"/>
    <w:rsid w:val="004D1A48"/>
    <w:rsid w:val="004D289C"/>
    <w:rsid w:val="004D5983"/>
    <w:rsid w:val="004D791D"/>
    <w:rsid w:val="004E0E07"/>
    <w:rsid w:val="004E4B2E"/>
    <w:rsid w:val="004E65D5"/>
    <w:rsid w:val="004F039E"/>
    <w:rsid w:val="004F05DD"/>
    <w:rsid w:val="004F5000"/>
    <w:rsid w:val="0050252C"/>
    <w:rsid w:val="00510DF3"/>
    <w:rsid w:val="0051139F"/>
    <w:rsid w:val="00512BEF"/>
    <w:rsid w:val="00514D21"/>
    <w:rsid w:val="00517B46"/>
    <w:rsid w:val="00525332"/>
    <w:rsid w:val="00525DC1"/>
    <w:rsid w:val="00527021"/>
    <w:rsid w:val="00533B18"/>
    <w:rsid w:val="00535E22"/>
    <w:rsid w:val="005361C0"/>
    <w:rsid w:val="00541E5F"/>
    <w:rsid w:val="005433C8"/>
    <w:rsid w:val="00552884"/>
    <w:rsid w:val="00552A23"/>
    <w:rsid w:val="005614CA"/>
    <w:rsid w:val="00567909"/>
    <w:rsid w:val="00567D34"/>
    <w:rsid w:val="0057739F"/>
    <w:rsid w:val="00584106"/>
    <w:rsid w:val="00587E7C"/>
    <w:rsid w:val="005924E3"/>
    <w:rsid w:val="005A1A38"/>
    <w:rsid w:val="005C52E8"/>
    <w:rsid w:val="005C7203"/>
    <w:rsid w:val="005D0CE1"/>
    <w:rsid w:val="005D3324"/>
    <w:rsid w:val="005D6421"/>
    <w:rsid w:val="005E2FF1"/>
    <w:rsid w:val="005E38B0"/>
    <w:rsid w:val="005E6515"/>
    <w:rsid w:val="005F5AC4"/>
    <w:rsid w:val="005F68D0"/>
    <w:rsid w:val="006062F6"/>
    <w:rsid w:val="006151D0"/>
    <w:rsid w:val="006156A0"/>
    <w:rsid w:val="0061712A"/>
    <w:rsid w:val="0062153B"/>
    <w:rsid w:val="00621965"/>
    <w:rsid w:val="00621FE2"/>
    <w:rsid w:val="00627F71"/>
    <w:rsid w:val="00631FDE"/>
    <w:rsid w:val="00634A9D"/>
    <w:rsid w:val="00635D66"/>
    <w:rsid w:val="00643D14"/>
    <w:rsid w:val="006468BE"/>
    <w:rsid w:val="006545F4"/>
    <w:rsid w:val="00656D03"/>
    <w:rsid w:val="00661820"/>
    <w:rsid w:val="006627E5"/>
    <w:rsid w:val="00664878"/>
    <w:rsid w:val="00665102"/>
    <w:rsid w:val="00670235"/>
    <w:rsid w:val="00671B15"/>
    <w:rsid w:val="006736EA"/>
    <w:rsid w:val="006742D9"/>
    <w:rsid w:val="00674B6F"/>
    <w:rsid w:val="00675B48"/>
    <w:rsid w:val="00676E7D"/>
    <w:rsid w:val="00685648"/>
    <w:rsid w:val="00691F95"/>
    <w:rsid w:val="00695670"/>
    <w:rsid w:val="006A4C5B"/>
    <w:rsid w:val="006B018B"/>
    <w:rsid w:val="006C271D"/>
    <w:rsid w:val="006D0A7D"/>
    <w:rsid w:val="006D0B1C"/>
    <w:rsid w:val="006D1B0E"/>
    <w:rsid w:val="006D3367"/>
    <w:rsid w:val="006D69A8"/>
    <w:rsid w:val="006E29B4"/>
    <w:rsid w:val="006E561E"/>
    <w:rsid w:val="006F3367"/>
    <w:rsid w:val="006F7350"/>
    <w:rsid w:val="00700440"/>
    <w:rsid w:val="0070379C"/>
    <w:rsid w:val="00705B59"/>
    <w:rsid w:val="0070780B"/>
    <w:rsid w:val="00714A5C"/>
    <w:rsid w:val="0072046F"/>
    <w:rsid w:val="00722476"/>
    <w:rsid w:val="00724C1E"/>
    <w:rsid w:val="00726AD9"/>
    <w:rsid w:val="00736D60"/>
    <w:rsid w:val="007504E0"/>
    <w:rsid w:val="00756015"/>
    <w:rsid w:val="0076580D"/>
    <w:rsid w:val="0077566C"/>
    <w:rsid w:val="007769B4"/>
    <w:rsid w:val="00785C89"/>
    <w:rsid w:val="00785DCE"/>
    <w:rsid w:val="00795433"/>
    <w:rsid w:val="00796DF6"/>
    <w:rsid w:val="007B027B"/>
    <w:rsid w:val="007B1C0B"/>
    <w:rsid w:val="007B1F74"/>
    <w:rsid w:val="007B2C90"/>
    <w:rsid w:val="007C17C4"/>
    <w:rsid w:val="007C1847"/>
    <w:rsid w:val="007C6A98"/>
    <w:rsid w:val="007C7B6F"/>
    <w:rsid w:val="007D11BD"/>
    <w:rsid w:val="007D6EC6"/>
    <w:rsid w:val="007E4568"/>
    <w:rsid w:val="007F0259"/>
    <w:rsid w:val="007F3495"/>
    <w:rsid w:val="007F584D"/>
    <w:rsid w:val="00802797"/>
    <w:rsid w:val="0080455F"/>
    <w:rsid w:val="0081773A"/>
    <w:rsid w:val="0081787A"/>
    <w:rsid w:val="008206D5"/>
    <w:rsid w:val="00823206"/>
    <w:rsid w:val="00836612"/>
    <w:rsid w:val="00837934"/>
    <w:rsid w:val="00837A1D"/>
    <w:rsid w:val="00841A84"/>
    <w:rsid w:val="00847658"/>
    <w:rsid w:val="00847FD0"/>
    <w:rsid w:val="00853849"/>
    <w:rsid w:val="00857049"/>
    <w:rsid w:val="00863E89"/>
    <w:rsid w:val="0086472C"/>
    <w:rsid w:val="00866889"/>
    <w:rsid w:val="008733AE"/>
    <w:rsid w:val="00875408"/>
    <w:rsid w:val="00880206"/>
    <w:rsid w:val="00886CE6"/>
    <w:rsid w:val="00887C8F"/>
    <w:rsid w:val="00891187"/>
    <w:rsid w:val="008937A9"/>
    <w:rsid w:val="00893C21"/>
    <w:rsid w:val="008A4A1D"/>
    <w:rsid w:val="008B6F18"/>
    <w:rsid w:val="008C5FAF"/>
    <w:rsid w:val="008D3534"/>
    <w:rsid w:val="008E0BE6"/>
    <w:rsid w:val="008E349F"/>
    <w:rsid w:val="008E656D"/>
    <w:rsid w:val="008E6FC8"/>
    <w:rsid w:val="008F225F"/>
    <w:rsid w:val="008F7AF1"/>
    <w:rsid w:val="009077DB"/>
    <w:rsid w:val="009102CB"/>
    <w:rsid w:val="00910C0F"/>
    <w:rsid w:val="00910E0D"/>
    <w:rsid w:val="00912C60"/>
    <w:rsid w:val="00912F78"/>
    <w:rsid w:val="009170E3"/>
    <w:rsid w:val="0092603E"/>
    <w:rsid w:val="0092672A"/>
    <w:rsid w:val="00930A22"/>
    <w:rsid w:val="00932051"/>
    <w:rsid w:val="009402D2"/>
    <w:rsid w:val="00941B0D"/>
    <w:rsid w:val="00943591"/>
    <w:rsid w:val="0094677A"/>
    <w:rsid w:val="00947DD4"/>
    <w:rsid w:val="00950DE6"/>
    <w:rsid w:val="00951A9F"/>
    <w:rsid w:val="00951C56"/>
    <w:rsid w:val="0096748B"/>
    <w:rsid w:val="00967D14"/>
    <w:rsid w:val="009808CE"/>
    <w:rsid w:val="00984EC2"/>
    <w:rsid w:val="00984ED8"/>
    <w:rsid w:val="00985512"/>
    <w:rsid w:val="00985514"/>
    <w:rsid w:val="00990D92"/>
    <w:rsid w:val="009921A0"/>
    <w:rsid w:val="009A419B"/>
    <w:rsid w:val="009A5137"/>
    <w:rsid w:val="009B00BA"/>
    <w:rsid w:val="009B06C5"/>
    <w:rsid w:val="009B4B18"/>
    <w:rsid w:val="009B5EE3"/>
    <w:rsid w:val="009B757C"/>
    <w:rsid w:val="009C2B2F"/>
    <w:rsid w:val="009C3513"/>
    <w:rsid w:val="009D153C"/>
    <w:rsid w:val="009D3C40"/>
    <w:rsid w:val="009E1E75"/>
    <w:rsid w:val="009E5E97"/>
    <w:rsid w:val="009E6A69"/>
    <w:rsid w:val="009E7BD9"/>
    <w:rsid w:val="009F6EE3"/>
    <w:rsid w:val="009F7AF9"/>
    <w:rsid w:val="00A00BF0"/>
    <w:rsid w:val="00A050FE"/>
    <w:rsid w:val="00A06AAC"/>
    <w:rsid w:val="00A10194"/>
    <w:rsid w:val="00A10C69"/>
    <w:rsid w:val="00A15CF8"/>
    <w:rsid w:val="00A23C08"/>
    <w:rsid w:val="00A24048"/>
    <w:rsid w:val="00A37AC1"/>
    <w:rsid w:val="00A413CC"/>
    <w:rsid w:val="00A51D8B"/>
    <w:rsid w:val="00A52403"/>
    <w:rsid w:val="00A557E3"/>
    <w:rsid w:val="00A55C18"/>
    <w:rsid w:val="00A66838"/>
    <w:rsid w:val="00A672BD"/>
    <w:rsid w:val="00A70F70"/>
    <w:rsid w:val="00A72892"/>
    <w:rsid w:val="00A76CEE"/>
    <w:rsid w:val="00A808F3"/>
    <w:rsid w:val="00A85FEC"/>
    <w:rsid w:val="00A86224"/>
    <w:rsid w:val="00A960C7"/>
    <w:rsid w:val="00AA1796"/>
    <w:rsid w:val="00AA2DC2"/>
    <w:rsid w:val="00AA517D"/>
    <w:rsid w:val="00AA7AB5"/>
    <w:rsid w:val="00AB4257"/>
    <w:rsid w:val="00AB71A4"/>
    <w:rsid w:val="00AB722A"/>
    <w:rsid w:val="00AC4B33"/>
    <w:rsid w:val="00AC508F"/>
    <w:rsid w:val="00AC5591"/>
    <w:rsid w:val="00AD1383"/>
    <w:rsid w:val="00AD153F"/>
    <w:rsid w:val="00AD314B"/>
    <w:rsid w:val="00AD4245"/>
    <w:rsid w:val="00AD5727"/>
    <w:rsid w:val="00AF0712"/>
    <w:rsid w:val="00AF26B7"/>
    <w:rsid w:val="00AF296F"/>
    <w:rsid w:val="00AF37EF"/>
    <w:rsid w:val="00AF6E96"/>
    <w:rsid w:val="00B03404"/>
    <w:rsid w:val="00B03EFD"/>
    <w:rsid w:val="00B07963"/>
    <w:rsid w:val="00B07C01"/>
    <w:rsid w:val="00B1375A"/>
    <w:rsid w:val="00B14786"/>
    <w:rsid w:val="00B14991"/>
    <w:rsid w:val="00B154D9"/>
    <w:rsid w:val="00B22FF1"/>
    <w:rsid w:val="00B252A8"/>
    <w:rsid w:val="00B26E60"/>
    <w:rsid w:val="00B31DE8"/>
    <w:rsid w:val="00B357BB"/>
    <w:rsid w:val="00B41229"/>
    <w:rsid w:val="00B4468A"/>
    <w:rsid w:val="00B454C8"/>
    <w:rsid w:val="00B45AFF"/>
    <w:rsid w:val="00B46390"/>
    <w:rsid w:val="00B47316"/>
    <w:rsid w:val="00B6332F"/>
    <w:rsid w:val="00B65A70"/>
    <w:rsid w:val="00B6737B"/>
    <w:rsid w:val="00B77B5A"/>
    <w:rsid w:val="00B800C4"/>
    <w:rsid w:val="00B80B78"/>
    <w:rsid w:val="00B83084"/>
    <w:rsid w:val="00B83144"/>
    <w:rsid w:val="00B92771"/>
    <w:rsid w:val="00B95414"/>
    <w:rsid w:val="00B96C51"/>
    <w:rsid w:val="00BA3354"/>
    <w:rsid w:val="00BA38E5"/>
    <w:rsid w:val="00BA562E"/>
    <w:rsid w:val="00BA7387"/>
    <w:rsid w:val="00BB19AA"/>
    <w:rsid w:val="00BB4445"/>
    <w:rsid w:val="00BB7405"/>
    <w:rsid w:val="00BC1C1F"/>
    <w:rsid w:val="00BC510B"/>
    <w:rsid w:val="00BD3A90"/>
    <w:rsid w:val="00BD65E8"/>
    <w:rsid w:val="00BD6B30"/>
    <w:rsid w:val="00BE7B85"/>
    <w:rsid w:val="00BF6129"/>
    <w:rsid w:val="00BF6946"/>
    <w:rsid w:val="00BF754C"/>
    <w:rsid w:val="00C0158D"/>
    <w:rsid w:val="00C03FB5"/>
    <w:rsid w:val="00C047A3"/>
    <w:rsid w:val="00C04B67"/>
    <w:rsid w:val="00C144ED"/>
    <w:rsid w:val="00C160BB"/>
    <w:rsid w:val="00C20312"/>
    <w:rsid w:val="00C20DBF"/>
    <w:rsid w:val="00C21681"/>
    <w:rsid w:val="00C23315"/>
    <w:rsid w:val="00C460B4"/>
    <w:rsid w:val="00C518B9"/>
    <w:rsid w:val="00C5495B"/>
    <w:rsid w:val="00C55AA1"/>
    <w:rsid w:val="00C6265B"/>
    <w:rsid w:val="00C65D44"/>
    <w:rsid w:val="00C66377"/>
    <w:rsid w:val="00C71C0B"/>
    <w:rsid w:val="00C71F5D"/>
    <w:rsid w:val="00C82996"/>
    <w:rsid w:val="00C9172E"/>
    <w:rsid w:val="00C97912"/>
    <w:rsid w:val="00CA1D1C"/>
    <w:rsid w:val="00CA2E0C"/>
    <w:rsid w:val="00CB031D"/>
    <w:rsid w:val="00CB737B"/>
    <w:rsid w:val="00CC0DE5"/>
    <w:rsid w:val="00CC5411"/>
    <w:rsid w:val="00CE1BAE"/>
    <w:rsid w:val="00CE67E8"/>
    <w:rsid w:val="00CF45F3"/>
    <w:rsid w:val="00D10F06"/>
    <w:rsid w:val="00D11194"/>
    <w:rsid w:val="00D15D19"/>
    <w:rsid w:val="00D20B5B"/>
    <w:rsid w:val="00D214E9"/>
    <w:rsid w:val="00D242A7"/>
    <w:rsid w:val="00D2433E"/>
    <w:rsid w:val="00D27A5C"/>
    <w:rsid w:val="00D306C1"/>
    <w:rsid w:val="00D31A40"/>
    <w:rsid w:val="00D339E9"/>
    <w:rsid w:val="00D3516F"/>
    <w:rsid w:val="00D45EDD"/>
    <w:rsid w:val="00D47D6A"/>
    <w:rsid w:val="00D528D2"/>
    <w:rsid w:val="00D5291C"/>
    <w:rsid w:val="00D52D17"/>
    <w:rsid w:val="00D56103"/>
    <w:rsid w:val="00D56175"/>
    <w:rsid w:val="00D619B8"/>
    <w:rsid w:val="00D64DF8"/>
    <w:rsid w:val="00D6713A"/>
    <w:rsid w:val="00D7050E"/>
    <w:rsid w:val="00D738D4"/>
    <w:rsid w:val="00D759F0"/>
    <w:rsid w:val="00D76A1A"/>
    <w:rsid w:val="00D7799F"/>
    <w:rsid w:val="00D8530B"/>
    <w:rsid w:val="00D92C46"/>
    <w:rsid w:val="00D97172"/>
    <w:rsid w:val="00DA13A0"/>
    <w:rsid w:val="00DA19FE"/>
    <w:rsid w:val="00DB13B7"/>
    <w:rsid w:val="00DB33D1"/>
    <w:rsid w:val="00DC4834"/>
    <w:rsid w:val="00DC63ED"/>
    <w:rsid w:val="00DC7379"/>
    <w:rsid w:val="00DD5CA1"/>
    <w:rsid w:val="00DE1E51"/>
    <w:rsid w:val="00DE2D03"/>
    <w:rsid w:val="00DE373D"/>
    <w:rsid w:val="00DE77FF"/>
    <w:rsid w:val="00DE7B03"/>
    <w:rsid w:val="00DE7F5C"/>
    <w:rsid w:val="00DF52DC"/>
    <w:rsid w:val="00E01363"/>
    <w:rsid w:val="00E10099"/>
    <w:rsid w:val="00E22E4F"/>
    <w:rsid w:val="00E321C6"/>
    <w:rsid w:val="00E410FA"/>
    <w:rsid w:val="00E431EC"/>
    <w:rsid w:val="00E463E4"/>
    <w:rsid w:val="00E53B7C"/>
    <w:rsid w:val="00E5427C"/>
    <w:rsid w:val="00E63A0C"/>
    <w:rsid w:val="00E720DD"/>
    <w:rsid w:val="00E7290D"/>
    <w:rsid w:val="00E74B55"/>
    <w:rsid w:val="00E852B7"/>
    <w:rsid w:val="00E92992"/>
    <w:rsid w:val="00E966DA"/>
    <w:rsid w:val="00EA4D62"/>
    <w:rsid w:val="00EB0A37"/>
    <w:rsid w:val="00EB3387"/>
    <w:rsid w:val="00EB4E22"/>
    <w:rsid w:val="00EB7A25"/>
    <w:rsid w:val="00EC05D1"/>
    <w:rsid w:val="00EC1EC9"/>
    <w:rsid w:val="00EC65A8"/>
    <w:rsid w:val="00EC796B"/>
    <w:rsid w:val="00ED6C04"/>
    <w:rsid w:val="00EE0B0D"/>
    <w:rsid w:val="00F02080"/>
    <w:rsid w:val="00F03274"/>
    <w:rsid w:val="00F06C6D"/>
    <w:rsid w:val="00F06CC4"/>
    <w:rsid w:val="00F0728B"/>
    <w:rsid w:val="00F22B85"/>
    <w:rsid w:val="00F26176"/>
    <w:rsid w:val="00F31742"/>
    <w:rsid w:val="00F32B76"/>
    <w:rsid w:val="00F36AAE"/>
    <w:rsid w:val="00F470F6"/>
    <w:rsid w:val="00F56244"/>
    <w:rsid w:val="00F57879"/>
    <w:rsid w:val="00F579A2"/>
    <w:rsid w:val="00F57DB2"/>
    <w:rsid w:val="00F74492"/>
    <w:rsid w:val="00F76581"/>
    <w:rsid w:val="00F76FE1"/>
    <w:rsid w:val="00F81A96"/>
    <w:rsid w:val="00F8799C"/>
    <w:rsid w:val="00F93B8D"/>
    <w:rsid w:val="00FA011C"/>
    <w:rsid w:val="00FA02CA"/>
    <w:rsid w:val="00FA1311"/>
    <w:rsid w:val="00FB07B5"/>
    <w:rsid w:val="00FB0F06"/>
    <w:rsid w:val="00FB3875"/>
    <w:rsid w:val="00FB7DE5"/>
    <w:rsid w:val="00FC103F"/>
    <w:rsid w:val="00FC196C"/>
    <w:rsid w:val="00FC5B3B"/>
    <w:rsid w:val="00FC6DE5"/>
    <w:rsid w:val="00FD07F0"/>
    <w:rsid w:val="00FD4B33"/>
    <w:rsid w:val="00FD4E4C"/>
    <w:rsid w:val="00FE14C4"/>
    <w:rsid w:val="00FE5E4E"/>
    <w:rsid w:val="00FE659F"/>
    <w:rsid w:val="00FF1824"/>
    <w:rsid w:val="00FF3D1A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aliases w:val="2.fáze"/>
    <w:basedOn w:val="02-ODST-2"/>
    <w:next w:val="Normln"/>
    <w:link w:val="Nadpis2Char"/>
    <w:uiPriority w:val="9"/>
    <w:qFormat/>
    <w:locked/>
    <w:rsid w:val="0010373C"/>
    <w:pPr>
      <w:spacing w:before="240" w:after="120"/>
      <w:outlineLvl w:val="1"/>
    </w:pPr>
    <w:rPr>
      <w:b/>
    </w:rPr>
  </w:style>
  <w:style w:type="paragraph" w:styleId="Nadpis3">
    <w:name w:val="heading 3"/>
    <w:aliases w:val="Nadpis 3 Char Char"/>
    <w:basedOn w:val="Normln"/>
    <w:next w:val="Normln"/>
    <w:link w:val="Nadpis3Char"/>
    <w:uiPriority w:val="99"/>
    <w:qFormat/>
    <w:rsid w:val="00F31742"/>
    <w:pPr>
      <w:keepNext/>
      <w:tabs>
        <w:tab w:val="num" w:pos="767"/>
      </w:tabs>
      <w:spacing w:before="240" w:after="60"/>
      <w:ind w:left="767" w:hanging="720"/>
      <w:outlineLvl w:val="2"/>
    </w:pPr>
    <w:rPr>
      <w:bCs/>
      <w:szCs w:val="26"/>
      <w:u w:val="single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1fze">
    <w:name w:val="1.fáze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3fze">
    <w:name w:val="3.fáze"/>
    <w:basedOn w:val="02-ODST-2"/>
    <w:qFormat/>
    <w:rsid w:val="00F22B85"/>
    <w:pPr>
      <w:numPr>
        <w:ilvl w:val="2"/>
      </w:numPr>
      <w:tabs>
        <w:tab w:val="clear" w:pos="567"/>
        <w:tab w:val="left" w:pos="709"/>
      </w:tabs>
      <w:ind w:left="709" w:hanging="567"/>
    </w:pPr>
  </w:style>
  <w:style w:type="paragraph" w:customStyle="1" w:styleId="4fze">
    <w:name w:val="4.fáze"/>
    <w:basedOn w:val="3fze"/>
    <w:qFormat/>
    <w:rsid w:val="00EC1EC9"/>
    <w:pPr>
      <w:numPr>
        <w:ilvl w:val="3"/>
      </w:numPr>
      <w:tabs>
        <w:tab w:val="clear" w:pos="709"/>
        <w:tab w:val="left" w:pos="567"/>
        <w:tab w:val="left" w:pos="1418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aliases w:val="2.fáze Char"/>
    <w:basedOn w:val="Standardnpsmoodstavce"/>
    <w:link w:val="Nadpis2"/>
    <w:uiPriority w:val="9"/>
    <w:rsid w:val="0010373C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link w:val="Odrky2roveChar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077BBB"/>
    <w:rPr>
      <w:color w:val="800080" w:themeColor="followedHyperlink"/>
      <w:u w:val="single"/>
    </w:rPr>
  </w:style>
  <w:style w:type="paragraph" w:customStyle="1" w:styleId="01-L">
    <w:name w:val="01-ČL."/>
    <w:basedOn w:val="Normln"/>
    <w:next w:val="Normln"/>
    <w:qFormat/>
    <w:rsid w:val="00F22B85"/>
    <w:pPr>
      <w:spacing w:before="600"/>
      <w:ind w:left="18" w:hanging="454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F22B85"/>
    <w:pPr>
      <w:numPr>
        <w:ilvl w:val="0"/>
        <w:numId w:val="0"/>
      </w:numPr>
      <w:tabs>
        <w:tab w:val="clear" w:pos="567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F22B85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adpis3Char">
    <w:name w:val="Nadpis 3 Char"/>
    <w:aliases w:val="Nadpis 3 Char Char Char"/>
    <w:basedOn w:val="Standardnpsmoodstavce"/>
    <w:link w:val="Nadpis3"/>
    <w:uiPriority w:val="99"/>
    <w:rsid w:val="00F31742"/>
    <w:rPr>
      <w:bCs/>
      <w:szCs w:val="26"/>
      <w:u w:val="single"/>
      <w:lang w:val="x-none" w:eastAsia="x-none"/>
    </w:rPr>
  </w:style>
  <w:style w:type="character" w:customStyle="1" w:styleId="Odrky2roveChar">
    <w:name w:val="Odrážky 2 úroveň Char"/>
    <w:link w:val="Odrky2rove"/>
    <w:locked/>
    <w:rsid w:val="00A808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aliases w:val="2.fáze"/>
    <w:basedOn w:val="02-ODST-2"/>
    <w:next w:val="Normln"/>
    <w:link w:val="Nadpis2Char"/>
    <w:uiPriority w:val="9"/>
    <w:qFormat/>
    <w:locked/>
    <w:rsid w:val="0010373C"/>
    <w:pPr>
      <w:spacing w:before="240" w:after="120"/>
      <w:outlineLvl w:val="1"/>
    </w:pPr>
    <w:rPr>
      <w:b/>
    </w:rPr>
  </w:style>
  <w:style w:type="paragraph" w:styleId="Nadpis3">
    <w:name w:val="heading 3"/>
    <w:aliases w:val="Nadpis 3 Char Char"/>
    <w:basedOn w:val="Normln"/>
    <w:next w:val="Normln"/>
    <w:link w:val="Nadpis3Char"/>
    <w:uiPriority w:val="99"/>
    <w:qFormat/>
    <w:rsid w:val="00F31742"/>
    <w:pPr>
      <w:keepNext/>
      <w:tabs>
        <w:tab w:val="num" w:pos="767"/>
      </w:tabs>
      <w:spacing w:before="240" w:after="60"/>
      <w:ind w:left="767" w:hanging="720"/>
      <w:outlineLvl w:val="2"/>
    </w:pPr>
    <w:rPr>
      <w:bCs/>
      <w:szCs w:val="26"/>
      <w:u w:val="single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1fze">
    <w:name w:val="1.fáze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3fze">
    <w:name w:val="3.fáze"/>
    <w:basedOn w:val="02-ODST-2"/>
    <w:qFormat/>
    <w:rsid w:val="00F22B85"/>
    <w:pPr>
      <w:numPr>
        <w:ilvl w:val="2"/>
      </w:numPr>
      <w:tabs>
        <w:tab w:val="clear" w:pos="567"/>
        <w:tab w:val="left" w:pos="709"/>
      </w:tabs>
      <w:ind w:left="709" w:hanging="567"/>
    </w:pPr>
  </w:style>
  <w:style w:type="paragraph" w:customStyle="1" w:styleId="4fze">
    <w:name w:val="4.fáze"/>
    <w:basedOn w:val="3fze"/>
    <w:qFormat/>
    <w:rsid w:val="00EC1EC9"/>
    <w:pPr>
      <w:numPr>
        <w:ilvl w:val="3"/>
      </w:numPr>
      <w:tabs>
        <w:tab w:val="clear" w:pos="709"/>
        <w:tab w:val="left" w:pos="567"/>
        <w:tab w:val="left" w:pos="1418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aliases w:val="2.fáze Char"/>
    <w:basedOn w:val="Standardnpsmoodstavce"/>
    <w:link w:val="Nadpis2"/>
    <w:uiPriority w:val="9"/>
    <w:rsid w:val="0010373C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link w:val="Odrky2roveChar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077BBB"/>
    <w:rPr>
      <w:color w:val="800080" w:themeColor="followedHyperlink"/>
      <w:u w:val="single"/>
    </w:rPr>
  </w:style>
  <w:style w:type="paragraph" w:customStyle="1" w:styleId="01-L">
    <w:name w:val="01-ČL."/>
    <w:basedOn w:val="Normln"/>
    <w:next w:val="Normln"/>
    <w:qFormat/>
    <w:rsid w:val="00F22B85"/>
    <w:pPr>
      <w:spacing w:before="600"/>
      <w:ind w:left="18" w:hanging="454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F22B85"/>
    <w:pPr>
      <w:numPr>
        <w:ilvl w:val="0"/>
        <w:numId w:val="0"/>
      </w:numPr>
      <w:tabs>
        <w:tab w:val="clear" w:pos="567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F22B85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adpis3Char">
    <w:name w:val="Nadpis 3 Char"/>
    <w:aliases w:val="Nadpis 3 Char Char Char"/>
    <w:basedOn w:val="Standardnpsmoodstavce"/>
    <w:link w:val="Nadpis3"/>
    <w:uiPriority w:val="99"/>
    <w:rsid w:val="00F31742"/>
    <w:rPr>
      <w:bCs/>
      <w:szCs w:val="26"/>
      <w:u w:val="single"/>
      <w:lang w:val="x-none" w:eastAsia="x-none"/>
    </w:rPr>
  </w:style>
  <w:style w:type="character" w:customStyle="1" w:styleId="Odrky2roveChar">
    <w:name w:val="Odrážky 2 úroveň Char"/>
    <w:link w:val="Odrky2rove"/>
    <w:locked/>
    <w:rsid w:val="00A80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2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6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8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1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31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oftender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softender.cz/home/profil/99282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ftender.cz/home/profil/99282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vladimir.pavelka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etr.hostek@ceproas.cz" TargetMode="External"/><Relationship Id="rId14" Type="http://schemas.openxmlformats.org/officeDocument/2006/relationships/hyperlink" Target="https://www.softender.cz/home/profil/99282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vecovai\dokumenty\V&#221;B&#282;ROV&#193;%20&#344;&#205;ZEN&#205;\V&#344;%202015\MR\048-15-OCN_RS%20Oprava%20KAO%20produktovod&#367;\ZD%202015%2002%200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EC406-82B5-42F0-B115-1333F0D60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 2015 02 09</Template>
  <TotalTime>4</TotalTime>
  <Pages>7</Pages>
  <Words>2460</Words>
  <Characters>14519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Hostek Petr</cp:lastModifiedBy>
  <cp:revision>6</cp:revision>
  <cp:lastPrinted>2015-05-19T05:22:00Z</cp:lastPrinted>
  <dcterms:created xsi:type="dcterms:W3CDTF">2015-05-18T10:19:00Z</dcterms:created>
  <dcterms:modified xsi:type="dcterms:W3CDTF">2015-05-21T11:39:00Z</dcterms:modified>
</cp:coreProperties>
</file>