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69B34" w14:textId="77777777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14:paraId="38C69B3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38C69B3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14:paraId="38C69B3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– Realizační tým</w:t>
      </w:r>
    </w:p>
    <w:p w14:paraId="38C69B3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14:paraId="38C69B3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38C69B3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38C69B3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38C69B3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38C69B3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38C69B3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38C69B3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38C69B4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38C69B4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14:paraId="38C69B4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38C69B4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14:paraId="38C69B4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14:paraId="38C69B4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14:paraId="38C69B4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14:paraId="38C69B4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14:paraId="38C69B4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14:paraId="38C69B4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14:paraId="38C69B4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– Realizační tým ve všech podporovaných aplikacích </w:t>
      </w:r>
      <w:r w:rsidR="00D73C8B">
        <w:t xml:space="preserve">uvedených v příloze š. 3 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 SAP.</w:t>
      </w:r>
    </w:p>
    <w:p w14:paraId="38C69B4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14:paraId="38C69B4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14:paraId="38C69B4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14:paraId="38C69B4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14:paraId="38C69B4F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14:paraId="38C69B5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14:paraId="38C69B5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14:paraId="38C69B5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14:paraId="38C69B5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14:paraId="38C69B5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14:paraId="38C69B5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38C69B5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14:paraId="38C69B5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14:paraId="38C69B5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38C69B5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38C69B5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38C69B5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38C69B5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38C69B5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38C69B5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účtům, kterým jsou v prostředí Objednatele přidělena administrátorská oprávnění, musí být vytvořena v souladu s následujícími pravidly:</w:t>
      </w:r>
    </w:p>
    <w:p w14:paraId="38C69B5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38C69B6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38C69B6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38C69B6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38C69B6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14:paraId="38C69B6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38C69B6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38C69B6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38C69B6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38C69B6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14:paraId="38C69B6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38C69B6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14:paraId="38C69B6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38C69B6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38C69B6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38C69B6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38C69B6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38C69B7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14:paraId="38C69B71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14:paraId="38C69B7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14:paraId="38C69B7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14:paraId="38C69B7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38C69B7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14:paraId="38C69B7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38C69B7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38C69B7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38C69B7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14:paraId="38C69B7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38C69B7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38C69B7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14:paraId="38C69B7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38C69B7E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38C69B7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38C69B8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14:paraId="38C69B8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14:paraId="38C69B8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14:paraId="38C69B8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38C69B8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14:paraId="38C69B8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14:paraId="38C69B8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38C69B8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14:paraId="38C69B88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Práce v prostředí Objednatele</w:t>
      </w:r>
    </w:p>
    <w:p w14:paraId="38C69B89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14:paraId="38C69B8A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14:paraId="38C69B8B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14:paraId="38C69B8C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38C69B8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38C69B8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14:paraId="38C69B8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14:paraId="38C69B9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14:paraId="38C69B9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14:paraId="38C69B9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38C69B9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38C69B9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14:paraId="38C69B9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14:paraId="38C69B96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38C69B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14:paraId="38C69B9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14:paraId="38C69B9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14:paraId="38C69B9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14:paraId="38C69B9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14:paraId="38C69B9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14:paraId="38C69B9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38C69B9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14:paraId="38C69B9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38C69BA0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38C69BA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připojení, apod. </w:t>
      </w:r>
    </w:p>
    <w:p w14:paraId="38C69BA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38C69BA3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38C69BA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38C69BA5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14:paraId="38C69BA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14:paraId="38C69BA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38C69BA8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14:paraId="38C69BA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38C69BA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38C69BA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38C69BA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38C69BAD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38C69BAE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14:paraId="38C69BA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14:paraId="38C69BB0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14:paraId="38C69BB1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38C69BB2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38C69BB3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14:paraId="38C69BB4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38C69BB5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t>Hlášení požadavků a bezpečnostních incidentů</w:t>
      </w:r>
    </w:p>
    <w:p w14:paraId="38C69BB6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14:paraId="38C69BB7" w14:textId="77777777"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14:paraId="38C69BB8" w14:textId="77777777" w:rsidR="004B6580" w:rsidRPr="004B6580" w:rsidRDefault="004B6580" w:rsidP="004B6580"/>
    <w:p w14:paraId="38C69BB9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38C69BBA" w14:textId="77777777"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38C69BBB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8ADC" w14:textId="77777777" w:rsidR="00931DF7" w:rsidRDefault="00931DF7" w:rsidP="00B45E24">
      <w:r>
        <w:separator/>
      </w:r>
    </w:p>
  </w:endnote>
  <w:endnote w:type="continuationSeparator" w:id="0">
    <w:p w14:paraId="417B169D" w14:textId="77777777" w:rsidR="00931DF7" w:rsidRDefault="00931DF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D9688" w14:textId="77777777" w:rsidR="00931DF7" w:rsidRDefault="00931DF7" w:rsidP="00B45E24">
      <w:r>
        <w:separator/>
      </w:r>
    </w:p>
  </w:footnote>
  <w:footnote w:type="continuationSeparator" w:id="0">
    <w:p w14:paraId="0E0AFD4F" w14:textId="77777777" w:rsidR="00931DF7" w:rsidRDefault="00931DF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9BC0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45B72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45B72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14:paraId="38C69BC1" w14:textId="591C6207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9F4EE4">
      <w:rPr>
        <w:sz w:val="16"/>
        <w:szCs w:val="16"/>
      </w:rPr>
      <w:t xml:space="preserve">í </w:t>
    </w:r>
    <w:r w:rsidR="00820C76">
      <w:rPr>
        <w:sz w:val="16"/>
        <w:szCs w:val="16"/>
      </w:rPr>
      <w:t>na platformě .NET</w:t>
    </w:r>
    <w:r w:rsidRPr="00324977">
      <w:rPr>
        <w:sz w:val="16"/>
        <w:szCs w:val="16"/>
      </w:rPr>
      <w:tab/>
    </w:r>
  </w:p>
  <w:p w14:paraId="38C69BC2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8C69BC3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837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02345188">
    <w:abstractNumId w:val="2"/>
  </w:num>
  <w:num w:numId="2" w16cid:durableId="993872403">
    <w:abstractNumId w:val="3"/>
  </w:num>
  <w:num w:numId="3" w16cid:durableId="1856915547">
    <w:abstractNumId w:val="1"/>
  </w:num>
  <w:num w:numId="4" w16cid:durableId="680278925">
    <w:abstractNumId w:val="4"/>
  </w:num>
  <w:num w:numId="5" w16cid:durableId="1736779355">
    <w:abstractNumId w:val="0"/>
  </w:num>
  <w:num w:numId="6" w16cid:durableId="1922720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46AC0"/>
    <w:rsid w:val="00111B4B"/>
    <w:rsid w:val="00132FFC"/>
    <w:rsid w:val="002058AE"/>
    <w:rsid w:val="00210B51"/>
    <w:rsid w:val="00210B74"/>
    <w:rsid w:val="0022653F"/>
    <w:rsid w:val="002C70F0"/>
    <w:rsid w:val="004064C3"/>
    <w:rsid w:val="004625EF"/>
    <w:rsid w:val="004B6580"/>
    <w:rsid w:val="00591E44"/>
    <w:rsid w:val="005C7643"/>
    <w:rsid w:val="00613D38"/>
    <w:rsid w:val="006432CE"/>
    <w:rsid w:val="007A5E06"/>
    <w:rsid w:val="007C214D"/>
    <w:rsid w:val="00820C76"/>
    <w:rsid w:val="00845B72"/>
    <w:rsid w:val="00931DF7"/>
    <w:rsid w:val="00944F8C"/>
    <w:rsid w:val="009F4EE4"/>
    <w:rsid w:val="00A36BBF"/>
    <w:rsid w:val="00A4182F"/>
    <w:rsid w:val="00A73513"/>
    <w:rsid w:val="00B211D8"/>
    <w:rsid w:val="00B45E24"/>
    <w:rsid w:val="00BA3FDE"/>
    <w:rsid w:val="00C2185D"/>
    <w:rsid w:val="00C5388E"/>
    <w:rsid w:val="00D40209"/>
    <w:rsid w:val="00D45355"/>
    <w:rsid w:val="00D67DC5"/>
    <w:rsid w:val="00D73C8B"/>
    <w:rsid w:val="00D82893"/>
    <w:rsid w:val="00DD0D3C"/>
    <w:rsid w:val="00EF52E5"/>
    <w:rsid w:val="00F15089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69B34"/>
  <w15:docId w15:val="{5E1F613F-A6DA-4301-8F46-48873CED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E752AA-0C43-44A9-B953-EABF858DC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21833-D9AC-4FA9-BCC0-5D2B6C9AE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FA60F-D50C-4A9C-8355-24BA161CCB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ABE086-E5A6-4911-B1C4-34D2967E1C36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2724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20</cp:revision>
  <dcterms:created xsi:type="dcterms:W3CDTF">2019-01-18T15:09:00Z</dcterms:created>
  <dcterms:modified xsi:type="dcterms:W3CDTF">2024-02-28T22:06:00Z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