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34F76" w14:textId="01F55FFA" w:rsidR="00E25890" w:rsidRPr="006929E9" w:rsidRDefault="00E25890" w:rsidP="00E25890">
      <w:pPr>
        <w:rPr>
          <w:u w:val="single"/>
        </w:rPr>
      </w:pPr>
      <w:r w:rsidRPr="006929E9">
        <w:rPr>
          <w:u w:val="single"/>
        </w:rPr>
        <w:t xml:space="preserve">Příloha č. </w:t>
      </w:r>
      <w:r w:rsidR="001B514E">
        <w:rPr>
          <w:u w:val="single"/>
        </w:rPr>
        <w:t>1</w:t>
      </w:r>
      <w:r w:rsidR="001B514E" w:rsidRPr="006929E9">
        <w:rPr>
          <w:u w:val="single"/>
        </w:rPr>
        <w:t xml:space="preserve"> </w:t>
      </w:r>
      <w:r w:rsidRPr="006929E9">
        <w:rPr>
          <w:u w:val="single"/>
        </w:rPr>
        <w:t>– kontakty a kontaktní osoby</w:t>
      </w:r>
    </w:p>
    <w:p w14:paraId="4E4C4A3E" w14:textId="77777777" w:rsidR="00E25890" w:rsidRDefault="00E25890" w:rsidP="00E25890"/>
    <w:p w14:paraId="5FC90756" w14:textId="77777777" w:rsidR="00E25890" w:rsidRDefault="00E25890" w:rsidP="00E25890">
      <w:r>
        <w:t>Kontaktní osoby objednatele:</w:t>
      </w:r>
    </w:p>
    <w:p w14:paraId="3E2B4DC7" w14:textId="77777777" w:rsidR="00E25890" w:rsidRDefault="00E25890" w:rsidP="00E25890">
      <w:r>
        <w:t>Odpovědné osoby objednatele, které jsou oprávněny k telefonickým a místním konzultacím, ohlašování závad a vznášení dotazů v rámci této smlouvy:</w:t>
      </w:r>
    </w:p>
    <w:p w14:paraId="1E539579" w14:textId="77777777" w:rsidR="00AF5A13" w:rsidRDefault="00AF5A13" w:rsidP="00E2589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1"/>
        <w:gridCol w:w="2267"/>
        <w:gridCol w:w="2598"/>
        <w:gridCol w:w="2250"/>
      </w:tblGrid>
      <w:tr w:rsidR="00AF5A13" w14:paraId="21B02E0A" w14:textId="77777777" w:rsidTr="002939FB">
        <w:tc>
          <w:tcPr>
            <w:tcW w:w="2231" w:type="dxa"/>
            <w:shd w:val="clear" w:color="auto" w:fill="D9D9D9" w:themeFill="background1" w:themeFillShade="D9"/>
          </w:tcPr>
          <w:p w14:paraId="079A160E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>Jméno a příjemní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14:paraId="3D4CDB6C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 xml:space="preserve">Funkce </w:t>
            </w:r>
          </w:p>
        </w:tc>
        <w:tc>
          <w:tcPr>
            <w:tcW w:w="2598" w:type="dxa"/>
            <w:shd w:val="clear" w:color="auto" w:fill="D9D9D9" w:themeFill="background1" w:themeFillShade="D9"/>
          </w:tcPr>
          <w:p w14:paraId="488A8AE3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>Email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05FEF957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 xml:space="preserve">Telefon </w:t>
            </w:r>
          </w:p>
        </w:tc>
      </w:tr>
      <w:tr w:rsidR="00992641" w14:paraId="7A3C0B63" w14:textId="77777777" w:rsidTr="002939FB">
        <w:tc>
          <w:tcPr>
            <w:tcW w:w="2231" w:type="dxa"/>
          </w:tcPr>
          <w:p w14:paraId="7EE2E848" w14:textId="777BB9C3" w:rsidR="00992641" w:rsidRDefault="00425694" w:rsidP="003900A2">
            <w:pPr>
              <w:jc w:val="left"/>
            </w:pPr>
            <w:r>
              <w:t>Miloš Beníšek</w:t>
            </w:r>
          </w:p>
        </w:tc>
        <w:tc>
          <w:tcPr>
            <w:tcW w:w="2267" w:type="dxa"/>
          </w:tcPr>
          <w:p w14:paraId="61F60A44" w14:textId="6133F0B8" w:rsidR="00992641" w:rsidRDefault="00425694" w:rsidP="003900A2">
            <w:pPr>
              <w:jc w:val="left"/>
            </w:pPr>
            <w:r>
              <w:t>IT Specialista</w:t>
            </w:r>
          </w:p>
        </w:tc>
        <w:tc>
          <w:tcPr>
            <w:tcW w:w="2598" w:type="dxa"/>
          </w:tcPr>
          <w:p w14:paraId="36F4B323" w14:textId="68FE6807" w:rsidR="00992641" w:rsidRDefault="00425694" w:rsidP="003900A2">
            <w:pPr>
              <w:jc w:val="left"/>
            </w:pPr>
            <w:hyperlink r:id="rId6" w:history="1">
              <w:r w:rsidRPr="006F33A3">
                <w:rPr>
                  <w:rStyle w:val="Hypertextovodkaz"/>
                </w:rPr>
                <w:t>milos.benisek@ceproas.cz</w:t>
              </w:r>
            </w:hyperlink>
            <w:r>
              <w:t xml:space="preserve"> </w:t>
            </w:r>
          </w:p>
        </w:tc>
        <w:tc>
          <w:tcPr>
            <w:tcW w:w="2250" w:type="dxa"/>
          </w:tcPr>
          <w:p w14:paraId="648916C9" w14:textId="585B9447" w:rsidR="00992641" w:rsidRDefault="00425694" w:rsidP="003900A2">
            <w:pPr>
              <w:jc w:val="left"/>
            </w:pPr>
            <w:r w:rsidRPr="00425694">
              <w:t>+420736505083</w:t>
            </w:r>
          </w:p>
        </w:tc>
      </w:tr>
      <w:tr w:rsidR="00992641" w14:paraId="216B14EF" w14:textId="77777777" w:rsidTr="002939FB">
        <w:tc>
          <w:tcPr>
            <w:tcW w:w="2231" w:type="dxa"/>
          </w:tcPr>
          <w:p w14:paraId="6C8DC428" w14:textId="69920CC0" w:rsidR="00992641" w:rsidRDefault="00425694" w:rsidP="003900A2">
            <w:pPr>
              <w:jc w:val="left"/>
            </w:pPr>
            <w:r>
              <w:t>Břetislav Frk</w:t>
            </w:r>
          </w:p>
        </w:tc>
        <w:tc>
          <w:tcPr>
            <w:tcW w:w="2267" w:type="dxa"/>
          </w:tcPr>
          <w:p w14:paraId="15AB21A7" w14:textId="449CDD14" w:rsidR="00992641" w:rsidRDefault="00425694" w:rsidP="003900A2">
            <w:pPr>
              <w:jc w:val="left"/>
            </w:pPr>
            <w:r w:rsidRPr="00425694">
              <w:t>Vedoucí oddělen</w:t>
            </w:r>
            <w:r>
              <w:t xml:space="preserve">í </w:t>
            </w:r>
            <w:r w:rsidRPr="00425694">
              <w:t>Analýza a rozvoj IS</w:t>
            </w:r>
          </w:p>
        </w:tc>
        <w:tc>
          <w:tcPr>
            <w:tcW w:w="2598" w:type="dxa"/>
          </w:tcPr>
          <w:p w14:paraId="6136C587" w14:textId="0AF02FD2" w:rsidR="00992641" w:rsidRDefault="00425694" w:rsidP="003900A2">
            <w:pPr>
              <w:jc w:val="left"/>
            </w:pPr>
            <w:hyperlink r:id="rId7" w:history="1">
              <w:r w:rsidRPr="006F33A3">
                <w:rPr>
                  <w:rStyle w:val="Hypertextovodkaz"/>
                </w:rPr>
                <w:t>bretislav.frk@ceproas.cz</w:t>
              </w:r>
            </w:hyperlink>
            <w:r>
              <w:t xml:space="preserve"> </w:t>
            </w:r>
          </w:p>
        </w:tc>
        <w:tc>
          <w:tcPr>
            <w:tcW w:w="2250" w:type="dxa"/>
          </w:tcPr>
          <w:p w14:paraId="0D44BF49" w14:textId="223D0FE3" w:rsidR="00992641" w:rsidRDefault="00425694" w:rsidP="003900A2">
            <w:pPr>
              <w:jc w:val="left"/>
            </w:pPr>
            <w:r w:rsidRPr="00425694">
              <w:t>+420739240838</w:t>
            </w:r>
          </w:p>
        </w:tc>
      </w:tr>
      <w:tr w:rsidR="00425694" w14:paraId="25B42EAF" w14:textId="77777777" w:rsidTr="002939FB">
        <w:tc>
          <w:tcPr>
            <w:tcW w:w="2231" w:type="dxa"/>
          </w:tcPr>
          <w:p w14:paraId="01A9024E" w14:textId="52458EC0" w:rsidR="00425694" w:rsidRDefault="00425694" w:rsidP="003900A2">
            <w:pPr>
              <w:jc w:val="left"/>
            </w:pPr>
            <w:r>
              <w:t>Zbyněk Skála</w:t>
            </w:r>
          </w:p>
        </w:tc>
        <w:tc>
          <w:tcPr>
            <w:tcW w:w="2267" w:type="dxa"/>
          </w:tcPr>
          <w:p w14:paraId="4BCA1891" w14:textId="6E74E709" w:rsidR="00425694" w:rsidRDefault="00425694" w:rsidP="003900A2">
            <w:pPr>
              <w:jc w:val="left"/>
            </w:pPr>
            <w:r w:rsidRPr="00425694">
              <w:t>Vedoucí odboru</w:t>
            </w:r>
            <w:r>
              <w:t xml:space="preserve"> </w:t>
            </w:r>
            <w:r w:rsidRPr="00425694">
              <w:t>Informační technologie</w:t>
            </w:r>
          </w:p>
        </w:tc>
        <w:tc>
          <w:tcPr>
            <w:tcW w:w="2598" w:type="dxa"/>
          </w:tcPr>
          <w:p w14:paraId="231D4F4A" w14:textId="69D339DA" w:rsidR="00425694" w:rsidRDefault="00425694" w:rsidP="003900A2">
            <w:pPr>
              <w:jc w:val="left"/>
            </w:pPr>
            <w:hyperlink r:id="rId8" w:history="1">
              <w:r w:rsidRPr="006F33A3">
                <w:rPr>
                  <w:rStyle w:val="Hypertextovodkaz"/>
                </w:rPr>
                <w:t>zbynek.skala@ceproas.cz</w:t>
              </w:r>
            </w:hyperlink>
            <w:r>
              <w:t xml:space="preserve">  </w:t>
            </w:r>
          </w:p>
        </w:tc>
        <w:tc>
          <w:tcPr>
            <w:tcW w:w="2250" w:type="dxa"/>
          </w:tcPr>
          <w:p w14:paraId="36779C4E" w14:textId="3419E18F" w:rsidR="00425694" w:rsidRDefault="00425694" w:rsidP="003900A2">
            <w:pPr>
              <w:jc w:val="left"/>
            </w:pPr>
            <w:r w:rsidRPr="00425694">
              <w:t>+420737210736</w:t>
            </w:r>
          </w:p>
        </w:tc>
      </w:tr>
    </w:tbl>
    <w:p w14:paraId="288483E1" w14:textId="77777777" w:rsidR="00AF5A13" w:rsidRDefault="00AF5A13" w:rsidP="00E25890"/>
    <w:p w14:paraId="7EC41505" w14:textId="77777777" w:rsidR="00E25890" w:rsidRDefault="00E25890" w:rsidP="00E25890"/>
    <w:p w14:paraId="436754B1" w14:textId="77777777" w:rsidR="00992641" w:rsidRDefault="00E25890" w:rsidP="00992641">
      <w:r>
        <w:t>Kontaktní osoby poskytovatele:</w:t>
      </w:r>
      <w:r w:rsidR="00992641" w:rsidRPr="00992641">
        <w:t xml:space="preserve"> </w:t>
      </w:r>
    </w:p>
    <w:p w14:paraId="6E28F3DF" w14:textId="77777777" w:rsidR="00992641" w:rsidRDefault="00992641" w:rsidP="00992641">
      <w:r>
        <w:t>Odpovědné osoby poskytovatele, které jsou oprávněny k telefonickým a místním konzultacím, řešení závad a odpovídání na dotazy objednatele v rámci této smlouvy:</w:t>
      </w:r>
    </w:p>
    <w:p w14:paraId="3420AF98" w14:textId="77777777" w:rsidR="00E25890" w:rsidRDefault="00E25890" w:rsidP="00E2589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6"/>
        <w:gridCol w:w="2336"/>
      </w:tblGrid>
      <w:tr w:rsidR="00AF5A13" w14:paraId="54E83032" w14:textId="77777777" w:rsidTr="006550B3">
        <w:tc>
          <w:tcPr>
            <w:tcW w:w="2374" w:type="dxa"/>
          </w:tcPr>
          <w:p w14:paraId="64FD1E2D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>Jméno a příjemní</w:t>
            </w:r>
          </w:p>
        </w:tc>
        <w:tc>
          <w:tcPr>
            <w:tcW w:w="2374" w:type="dxa"/>
          </w:tcPr>
          <w:p w14:paraId="5D7B9AE2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 xml:space="preserve">Funkce </w:t>
            </w:r>
          </w:p>
        </w:tc>
        <w:tc>
          <w:tcPr>
            <w:tcW w:w="2374" w:type="dxa"/>
          </w:tcPr>
          <w:p w14:paraId="69F1B793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>Email</w:t>
            </w:r>
          </w:p>
        </w:tc>
        <w:tc>
          <w:tcPr>
            <w:tcW w:w="2374" w:type="dxa"/>
          </w:tcPr>
          <w:p w14:paraId="791C7CAF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 xml:space="preserve">Telefon </w:t>
            </w:r>
          </w:p>
        </w:tc>
      </w:tr>
      <w:tr w:rsidR="00AF5A13" w14:paraId="137A448D" w14:textId="77777777" w:rsidTr="006550B3">
        <w:tc>
          <w:tcPr>
            <w:tcW w:w="2374" w:type="dxa"/>
          </w:tcPr>
          <w:p w14:paraId="6A8DDA49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5EFC007A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04AB3FFC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38C25D18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highlight w:val="yellow"/>
              </w:rPr>
              <w:t xml:space="preserve">+420 </w:t>
            </w: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</w:tr>
      <w:tr w:rsidR="00AF5A13" w14:paraId="6363792A" w14:textId="77777777" w:rsidTr="006550B3">
        <w:tc>
          <w:tcPr>
            <w:tcW w:w="2374" w:type="dxa"/>
          </w:tcPr>
          <w:p w14:paraId="54A49F1A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4A788608" w14:textId="77777777" w:rsidR="00AF5A13" w:rsidRPr="002939FB" w:rsidRDefault="00992641" w:rsidP="003900A2">
            <w:pPr>
              <w:jc w:val="left"/>
              <w:rPr>
                <w:b/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0CBAB5BB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71DA6BB8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+420 [bude doplněno dodavatelem]</w:t>
            </w:r>
          </w:p>
        </w:tc>
      </w:tr>
      <w:tr w:rsidR="00992641" w14:paraId="4016B0BF" w14:textId="77777777" w:rsidTr="006550B3">
        <w:tc>
          <w:tcPr>
            <w:tcW w:w="2374" w:type="dxa"/>
          </w:tcPr>
          <w:p w14:paraId="7A2C1BE4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0936FFA7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1DFA6D08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2B358AB3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highlight w:val="yellow"/>
              </w:rPr>
              <w:t xml:space="preserve">+420 </w:t>
            </w: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</w:tr>
    </w:tbl>
    <w:p w14:paraId="4187604F" w14:textId="77777777" w:rsidR="00FD5CF6" w:rsidRDefault="00FD5CF6" w:rsidP="00E25890"/>
    <w:sectPr w:rsidR="00FD5CF6" w:rsidSect="002153EC">
      <w:headerReference w:type="default" r:id="rId9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3E73B" w14:textId="77777777" w:rsidR="0059234B" w:rsidRDefault="0059234B" w:rsidP="00E25890">
      <w:pPr>
        <w:spacing w:after="0"/>
      </w:pPr>
      <w:r>
        <w:separator/>
      </w:r>
    </w:p>
  </w:endnote>
  <w:endnote w:type="continuationSeparator" w:id="0">
    <w:p w14:paraId="3E62DCEE" w14:textId="77777777" w:rsidR="0059234B" w:rsidRDefault="0059234B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320A7" w14:textId="77777777" w:rsidR="0059234B" w:rsidRDefault="0059234B" w:rsidP="00E25890">
      <w:pPr>
        <w:spacing w:after="0"/>
      </w:pPr>
      <w:r>
        <w:separator/>
      </w:r>
    </w:p>
  </w:footnote>
  <w:footnote w:type="continuationSeparator" w:id="0">
    <w:p w14:paraId="3081FB83" w14:textId="77777777" w:rsidR="0059234B" w:rsidRDefault="0059234B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CBE1" w14:textId="4A5361F4" w:rsidR="001B514E" w:rsidRPr="008E6E13" w:rsidRDefault="001B514E" w:rsidP="001B514E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 w:rsidR="00CF4A07" w:rsidRPr="00CF4A07">
      <w:t xml:space="preserve">Prodloužení a dokoupení licencí produktů </w:t>
    </w:r>
    <w:proofErr w:type="spellStart"/>
    <w:r w:rsidR="00CF4A07" w:rsidRPr="00CF4A07">
      <w:t>ServiceNow</w:t>
    </w:r>
    <w:proofErr w:type="spellEnd"/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8E6E13">
      <w:br/>
    </w:r>
    <w:r w:rsidR="00CF4A07">
      <w:t>347</w:t>
    </w:r>
    <w:r w:rsidR="004B7EE1">
      <w:t>/22</w:t>
    </w:r>
    <w:r>
      <w:t>/OCN</w:t>
    </w:r>
    <w:r w:rsidRPr="008E6E13">
      <w:tab/>
    </w:r>
    <w:r>
      <w:t>č. ………………….</w:t>
    </w:r>
  </w:p>
  <w:p w14:paraId="265F3827" w14:textId="77777777" w:rsidR="007E3CB5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80CE9"/>
    <w:rsid w:val="001B514E"/>
    <w:rsid w:val="001B65C3"/>
    <w:rsid w:val="001F72CE"/>
    <w:rsid w:val="00206FE3"/>
    <w:rsid w:val="002939FB"/>
    <w:rsid w:val="0032118B"/>
    <w:rsid w:val="00382F83"/>
    <w:rsid w:val="003900A2"/>
    <w:rsid w:val="003A3EBC"/>
    <w:rsid w:val="003D41B7"/>
    <w:rsid w:val="00425694"/>
    <w:rsid w:val="00454F0C"/>
    <w:rsid w:val="004B7EE1"/>
    <w:rsid w:val="004F42FA"/>
    <w:rsid w:val="0059234B"/>
    <w:rsid w:val="005B30FA"/>
    <w:rsid w:val="0067351A"/>
    <w:rsid w:val="00845265"/>
    <w:rsid w:val="00870FB9"/>
    <w:rsid w:val="0096716D"/>
    <w:rsid w:val="00981815"/>
    <w:rsid w:val="00985B48"/>
    <w:rsid w:val="00992641"/>
    <w:rsid w:val="00AF5A13"/>
    <w:rsid w:val="00B16C49"/>
    <w:rsid w:val="00C9370C"/>
    <w:rsid w:val="00CA0092"/>
    <w:rsid w:val="00CA42E6"/>
    <w:rsid w:val="00CF0111"/>
    <w:rsid w:val="00CF4A07"/>
    <w:rsid w:val="00D9306E"/>
    <w:rsid w:val="00DB63EC"/>
    <w:rsid w:val="00DC00FF"/>
    <w:rsid w:val="00E05509"/>
    <w:rsid w:val="00E07E72"/>
    <w:rsid w:val="00E25890"/>
    <w:rsid w:val="00F97BCD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7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97BCD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7BC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7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7BC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A3EB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569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256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9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bynek.skala@ceproas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retislav.frk@ceproas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los.benisek@ceproas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Frk Břetislav</cp:lastModifiedBy>
  <cp:revision>4</cp:revision>
  <cp:lastPrinted>2020-01-29T07:33:00Z</cp:lastPrinted>
  <dcterms:created xsi:type="dcterms:W3CDTF">2022-12-09T12:05:00Z</dcterms:created>
  <dcterms:modified xsi:type="dcterms:W3CDTF">2022-12-09T12:09:00Z</dcterms:modified>
</cp:coreProperties>
</file>