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62089" w14:textId="1FCBC7F4" w:rsidR="00E84592" w:rsidRPr="001819E2" w:rsidRDefault="00E72596" w:rsidP="004625EF">
      <w:pPr>
        <w:pStyle w:val="Nadpis1"/>
        <w:jc w:val="center"/>
        <w:rPr>
          <w:sz w:val="32"/>
          <w:szCs w:val="32"/>
        </w:rPr>
      </w:pPr>
      <w:r w:rsidRPr="001819E2">
        <w:rPr>
          <w:sz w:val="32"/>
          <w:szCs w:val="32"/>
        </w:rPr>
        <w:t xml:space="preserve">Příloha </w:t>
      </w:r>
      <w:r w:rsidR="004326D9" w:rsidRPr="001819E2">
        <w:rPr>
          <w:sz w:val="32"/>
          <w:szCs w:val="32"/>
        </w:rPr>
        <w:t>č.</w:t>
      </w:r>
      <w:r w:rsidR="00040268" w:rsidRPr="001819E2">
        <w:rPr>
          <w:sz w:val="32"/>
          <w:szCs w:val="32"/>
        </w:rPr>
        <w:t xml:space="preserve"> </w:t>
      </w:r>
      <w:r w:rsidR="004326D9" w:rsidRPr="001819E2">
        <w:rPr>
          <w:sz w:val="32"/>
          <w:szCs w:val="32"/>
        </w:rPr>
        <w:t xml:space="preserve">3 </w:t>
      </w:r>
      <w:r w:rsidR="00465000" w:rsidRPr="001819E2">
        <w:rPr>
          <w:sz w:val="32"/>
          <w:szCs w:val="32"/>
        </w:rPr>
        <w:t>–</w:t>
      </w:r>
      <w:r w:rsidR="004326D9" w:rsidRPr="001819E2">
        <w:rPr>
          <w:sz w:val="32"/>
          <w:szCs w:val="32"/>
        </w:rPr>
        <w:t xml:space="preserve"> Katalog Aplikací</w:t>
      </w:r>
    </w:p>
    <w:p w14:paraId="6B0B01FB" w14:textId="77777777" w:rsidR="00F9699E" w:rsidRPr="0021743D" w:rsidRDefault="00F9699E" w:rsidP="00F9699E">
      <w:pPr>
        <w:rPr>
          <w:rFonts w:cs="Arial"/>
        </w:rPr>
      </w:pPr>
    </w:p>
    <w:tbl>
      <w:tblPr>
        <w:tblW w:w="15460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9"/>
        <w:gridCol w:w="1030"/>
        <w:gridCol w:w="6764"/>
        <w:gridCol w:w="2740"/>
        <w:gridCol w:w="1258"/>
        <w:gridCol w:w="1285"/>
        <w:gridCol w:w="1144"/>
      </w:tblGrid>
      <w:tr w:rsidR="00700E1D" w:rsidRPr="0021743D" w14:paraId="110B16BA" w14:textId="286DD412" w:rsidTr="002B4B60">
        <w:trPr>
          <w:trHeight w:val="113"/>
          <w:tblHeader/>
          <w:jc w:val="center"/>
        </w:trPr>
        <w:tc>
          <w:tcPr>
            <w:tcW w:w="1247" w:type="dxa"/>
            <w:shd w:val="clear" w:color="auto" w:fill="808080" w:themeFill="background1" w:themeFillShade="80"/>
            <w:vAlign w:val="center"/>
            <w:hideMark/>
          </w:tcPr>
          <w:p w14:paraId="2057EEB3" w14:textId="77777777" w:rsidR="00DD5F03" w:rsidRPr="0021743D" w:rsidRDefault="00DD5F03" w:rsidP="00565E0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21743D">
              <w:rPr>
                <w:rFonts w:cs="Arial"/>
                <w:b/>
                <w:color w:val="FFFFFF" w:themeColor="background1"/>
              </w:rPr>
              <w:t>Název Aplikace</w:t>
            </w:r>
          </w:p>
        </w:tc>
        <w:tc>
          <w:tcPr>
            <w:tcW w:w="989" w:type="dxa"/>
            <w:shd w:val="clear" w:color="auto" w:fill="808080" w:themeFill="background1" w:themeFillShade="80"/>
            <w:vAlign w:val="center"/>
            <w:hideMark/>
          </w:tcPr>
          <w:p w14:paraId="686D0DE2" w14:textId="77777777" w:rsidR="00DD5F03" w:rsidRPr="0021743D" w:rsidRDefault="00DD5F03" w:rsidP="00565E0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21743D">
              <w:rPr>
                <w:rFonts w:cs="Arial"/>
                <w:b/>
                <w:color w:val="FFFFFF" w:themeColor="background1"/>
              </w:rPr>
              <w:t>Označení Aplikace</w:t>
            </w:r>
          </w:p>
        </w:tc>
        <w:tc>
          <w:tcPr>
            <w:tcW w:w="6872" w:type="dxa"/>
            <w:shd w:val="clear" w:color="auto" w:fill="808080" w:themeFill="background1" w:themeFillShade="80"/>
            <w:vAlign w:val="center"/>
            <w:hideMark/>
          </w:tcPr>
          <w:p w14:paraId="3ABA9488" w14:textId="77777777" w:rsidR="00DD5F03" w:rsidRPr="0021743D" w:rsidRDefault="00DD5F03" w:rsidP="00565E0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21743D">
              <w:rPr>
                <w:rFonts w:cs="Arial"/>
                <w:b/>
                <w:color w:val="FFFFFF" w:themeColor="background1"/>
              </w:rPr>
              <w:t>Popis Aplikace</w:t>
            </w:r>
          </w:p>
        </w:tc>
        <w:tc>
          <w:tcPr>
            <w:tcW w:w="2762" w:type="dxa"/>
            <w:shd w:val="clear" w:color="auto" w:fill="808080" w:themeFill="background1" w:themeFillShade="80"/>
            <w:vAlign w:val="center"/>
          </w:tcPr>
          <w:p w14:paraId="22E101CC" w14:textId="77777777" w:rsidR="00DD5F03" w:rsidRPr="0021743D" w:rsidRDefault="00DD5F03" w:rsidP="00565E0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21743D">
              <w:rPr>
                <w:rFonts w:cs="Arial"/>
                <w:b/>
                <w:color w:val="FFFFFF" w:themeColor="background1"/>
              </w:rPr>
              <w:t>Použité techn. Aplikace</w:t>
            </w:r>
          </w:p>
        </w:tc>
        <w:tc>
          <w:tcPr>
            <w:tcW w:w="1272" w:type="dxa"/>
            <w:shd w:val="clear" w:color="auto" w:fill="808080" w:themeFill="background1" w:themeFillShade="80"/>
            <w:vAlign w:val="center"/>
            <w:hideMark/>
          </w:tcPr>
          <w:p w14:paraId="2D0EA12A" w14:textId="77777777" w:rsidR="00DD5F03" w:rsidRPr="0021743D" w:rsidRDefault="00DD5F03" w:rsidP="00565E0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21743D">
              <w:rPr>
                <w:rFonts w:cs="Arial"/>
                <w:b/>
                <w:color w:val="FFFFFF" w:themeColor="background1"/>
              </w:rPr>
              <w:t>Typ klienta</w:t>
            </w:r>
          </w:p>
        </w:tc>
        <w:tc>
          <w:tcPr>
            <w:tcW w:w="1171" w:type="dxa"/>
            <w:shd w:val="clear" w:color="auto" w:fill="808080" w:themeFill="background1" w:themeFillShade="80"/>
            <w:vAlign w:val="center"/>
            <w:hideMark/>
          </w:tcPr>
          <w:p w14:paraId="254988A0" w14:textId="77777777" w:rsidR="00DD5F03" w:rsidRPr="0021743D" w:rsidRDefault="00DD5F03" w:rsidP="00565E0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21743D">
              <w:rPr>
                <w:rFonts w:cs="Arial"/>
                <w:b/>
                <w:color w:val="FFFFFF" w:themeColor="background1"/>
              </w:rPr>
              <w:t>Testovací prostředí Objednatele</w:t>
            </w:r>
          </w:p>
        </w:tc>
        <w:tc>
          <w:tcPr>
            <w:tcW w:w="1147" w:type="dxa"/>
            <w:shd w:val="clear" w:color="auto" w:fill="808080" w:themeFill="background1" w:themeFillShade="80"/>
          </w:tcPr>
          <w:p w14:paraId="186D6FA3" w14:textId="5CBD69F1" w:rsidR="00DD5F03" w:rsidRPr="0021743D" w:rsidRDefault="00DD5F03" w:rsidP="00565E0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21743D">
              <w:rPr>
                <w:rFonts w:cs="Arial"/>
                <w:b/>
                <w:color w:val="FFFFFF" w:themeColor="background1"/>
              </w:rPr>
              <w:t>Vývojové prostředí</w:t>
            </w:r>
          </w:p>
        </w:tc>
      </w:tr>
      <w:tr w:rsidR="00700E1D" w:rsidRPr="0021743D" w14:paraId="47702194" w14:textId="3960836D" w:rsidTr="002B4B60">
        <w:trPr>
          <w:trHeight w:val="2721"/>
          <w:jc w:val="center"/>
        </w:trPr>
        <w:tc>
          <w:tcPr>
            <w:tcW w:w="1247" w:type="dxa"/>
            <w:shd w:val="clear" w:color="auto" w:fill="auto"/>
            <w:vAlign w:val="center"/>
          </w:tcPr>
          <w:p w14:paraId="7173A4AD" w14:textId="62EDF440" w:rsidR="00DD5F03" w:rsidRPr="0021743D" w:rsidRDefault="00DD5F03" w:rsidP="04261E69">
            <w:pPr>
              <w:spacing w:before="60" w:after="60"/>
              <w:rPr>
                <w:rFonts w:cs="Arial"/>
              </w:rPr>
            </w:pPr>
            <w:r w:rsidRPr="0021743D">
              <w:rPr>
                <w:rFonts w:cs="Arial"/>
              </w:rPr>
              <w:t>SAP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C816925" w14:textId="5A30CF4C" w:rsidR="00DD5F03" w:rsidRPr="0021743D" w:rsidRDefault="00DD5F03" w:rsidP="00964168">
            <w:pPr>
              <w:rPr>
                <w:rFonts w:cs="Arial"/>
                <w:highlight w:val="yellow"/>
              </w:rPr>
            </w:pPr>
            <w:r w:rsidRPr="0021743D">
              <w:rPr>
                <w:rFonts w:cs="Arial"/>
              </w:rPr>
              <w:t>SAP</w:t>
            </w:r>
          </w:p>
        </w:tc>
        <w:tc>
          <w:tcPr>
            <w:tcW w:w="6872" w:type="dxa"/>
            <w:shd w:val="clear" w:color="auto" w:fill="auto"/>
            <w:vAlign w:val="center"/>
          </w:tcPr>
          <w:p w14:paraId="618D1520" w14:textId="09292818" w:rsidR="00CA7572" w:rsidRPr="0021743D" w:rsidRDefault="00CA7572" w:rsidP="00CA7572">
            <w:pPr>
              <w:rPr>
                <w:rFonts w:cs="Arial"/>
              </w:rPr>
            </w:pPr>
            <w:bookmarkStart w:id="0" w:name="_Hlk93574969"/>
            <w:r w:rsidRPr="0021743D">
              <w:rPr>
                <w:rFonts w:cs="Arial"/>
              </w:rPr>
              <w:t>Pros</w:t>
            </w:r>
            <w:r w:rsidR="009E1E0C" w:rsidRPr="0021743D">
              <w:rPr>
                <w:rFonts w:cs="Arial"/>
              </w:rPr>
              <w:t>t</w:t>
            </w:r>
            <w:r w:rsidRPr="0021743D">
              <w:rPr>
                <w:rFonts w:cs="Arial"/>
              </w:rPr>
              <w:t>ředí SAP</w:t>
            </w:r>
            <w:r w:rsidR="00E76203" w:rsidRPr="0021743D">
              <w:rPr>
                <w:rFonts w:cs="Arial"/>
              </w:rPr>
              <w:t xml:space="preserve"> Objednatele</w:t>
            </w:r>
            <w:r w:rsidRPr="0021743D">
              <w:rPr>
                <w:rFonts w:cs="Arial"/>
              </w:rPr>
              <w:t xml:space="preserve"> se skládá z</w:t>
            </w:r>
            <w:r w:rsidR="00E76203" w:rsidRPr="0021743D">
              <w:rPr>
                <w:rFonts w:cs="Arial"/>
              </w:rPr>
              <w:t> následujících částí:</w:t>
            </w:r>
          </w:p>
          <w:p w14:paraId="7C7047CF" w14:textId="0DA1F4C0" w:rsidR="00CA7572" w:rsidRPr="0021743D" w:rsidRDefault="00CA7572" w:rsidP="00CA7572">
            <w:pPr>
              <w:pStyle w:val="Odstavecseseznamem"/>
              <w:numPr>
                <w:ilvl w:val="0"/>
                <w:numId w:val="19"/>
              </w:numPr>
              <w:overflowPunct/>
              <w:autoSpaceDE/>
              <w:autoSpaceDN/>
              <w:adjustRightInd/>
              <w:spacing w:before="120" w:after="120" w:line="240" w:lineRule="exact"/>
              <w:contextualSpacing/>
              <w:jc w:val="both"/>
              <w:textAlignment w:val="auto"/>
              <w:rPr>
                <w:rFonts w:ascii="Arial" w:hAnsi="Arial" w:cs="Arial"/>
                <w:b/>
              </w:rPr>
            </w:pPr>
            <w:r w:rsidRPr="0021743D">
              <w:rPr>
                <w:rFonts w:ascii="Arial" w:hAnsi="Arial" w:cs="Arial"/>
                <w:b/>
              </w:rPr>
              <w:t xml:space="preserve">SAP R/3 </w:t>
            </w:r>
            <w:r w:rsidR="00F82ECE" w:rsidRPr="0021743D">
              <w:rPr>
                <w:rFonts w:ascii="Arial" w:hAnsi="Arial" w:cs="Arial"/>
                <w:b/>
              </w:rPr>
              <w:t>- ERP</w:t>
            </w:r>
          </w:p>
          <w:p w14:paraId="7A7FD292" w14:textId="77777777" w:rsidR="00CA7572" w:rsidRPr="0021743D" w:rsidRDefault="00CA7572" w:rsidP="00CA7572">
            <w:pPr>
              <w:numPr>
                <w:ilvl w:val="0"/>
                <w:numId w:val="18"/>
              </w:numPr>
              <w:spacing w:before="120" w:after="120" w:line="240" w:lineRule="exact"/>
              <w:ind w:left="936"/>
              <w:jc w:val="both"/>
              <w:rPr>
                <w:rFonts w:cs="Arial"/>
              </w:rPr>
            </w:pPr>
            <w:r w:rsidRPr="0021743D">
              <w:rPr>
                <w:rFonts w:cs="Arial"/>
              </w:rPr>
              <w:t>prostředí, ke kterému uživatelé přistupují</w:t>
            </w:r>
          </w:p>
          <w:p w14:paraId="1656AA99" w14:textId="68C5FD80" w:rsidR="0021743D" w:rsidRPr="0021743D" w:rsidRDefault="00CA7572" w:rsidP="0021743D">
            <w:pPr>
              <w:numPr>
                <w:ilvl w:val="0"/>
                <w:numId w:val="18"/>
              </w:numPr>
              <w:spacing w:before="120" w:after="120" w:line="240" w:lineRule="exact"/>
              <w:ind w:left="936"/>
              <w:jc w:val="both"/>
              <w:rPr>
                <w:rFonts w:cs="Arial"/>
              </w:rPr>
            </w:pPr>
            <w:r w:rsidRPr="0021743D">
              <w:rPr>
                <w:rFonts w:cs="Arial"/>
              </w:rPr>
              <w:t xml:space="preserve">jedná se </w:t>
            </w:r>
            <w:proofErr w:type="spellStart"/>
            <w:r w:rsidRPr="0021743D">
              <w:rPr>
                <w:rFonts w:cs="Arial"/>
              </w:rPr>
              <w:t>client</w:t>
            </w:r>
            <w:proofErr w:type="spellEnd"/>
            <w:r w:rsidRPr="0021743D">
              <w:rPr>
                <w:rFonts w:cs="Arial"/>
              </w:rPr>
              <w:t xml:space="preserve">/server aplikaci využívající třívrstvý model. Prezentační vrstva, nebo klient komunikuje s uživatelem. V aplikační vrstvě je uložena procesní logika a databázová vrstva zaznamenává a ukládá všechna data systému včetně transakčních a konfiguračních dat. </w:t>
            </w:r>
          </w:p>
          <w:p w14:paraId="4D1FAE27" w14:textId="77777777" w:rsidR="00CA7572" w:rsidRPr="0021743D" w:rsidRDefault="00CA7572" w:rsidP="00CA7572">
            <w:pPr>
              <w:pStyle w:val="Odstavecseseznamem"/>
              <w:numPr>
                <w:ilvl w:val="0"/>
                <w:numId w:val="19"/>
              </w:numPr>
              <w:overflowPunct/>
              <w:autoSpaceDE/>
              <w:autoSpaceDN/>
              <w:adjustRightInd/>
              <w:spacing w:before="120" w:after="120" w:line="240" w:lineRule="exact"/>
              <w:contextualSpacing/>
              <w:jc w:val="both"/>
              <w:textAlignment w:val="auto"/>
              <w:rPr>
                <w:rFonts w:ascii="Arial" w:hAnsi="Arial" w:cs="Arial"/>
                <w:b/>
              </w:rPr>
            </w:pPr>
            <w:r w:rsidRPr="0021743D">
              <w:rPr>
                <w:rFonts w:ascii="Arial" w:hAnsi="Arial" w:cs="Arial"/>
                <w:b/>
              </w:rPr>
              <w:t xml:space="preserve">SAP </w:t>
            </w:r>
            <w:proofErr w:type="spellStart"/>
            <w:r w:rsidRPr="0021743D">
              <w:rPr>
                <w:rFonts w:ascii="Arial" w:hAnsi="Arial" w:cs="Arial"/>
                <w:b/>
              </w:rPr>
              <w:t>Solution</w:t>
            </w:r>
            <w:proofErr w:type="spellEnd"/>
            <w:r w:rsidRPr="0021743D">
              <w:rPr>
                <w:rFonts w:ascii="Arial" w:hAnsi="Arial" w:cs="Arial"/>
                <w:b/>
              </w:rPr>
              <w:t xml:space="preserve"> Manager</w:t>
            </w:r>
          </w:p>
          <w:p w14:paraId="13B6FB5C" w14:textId="38C4C07C" w:rsidR="0021743D" w:rsidRPr="00864A7D" w:rsidRDefault="00CA7572" w:rsidP="0021743D">
            <w:pPr>
              <w:numPr>
                <w:ilvl w:val="0"/>
                <w:numId w:val="18"/>
              </w:numPr>
              <w:spacing w:before="120" w:after="120" w:line="240" w:lineRule="exact"/>
              <w:ind w:left="936"/>
              <w:jc w:val="both"/>
              <w:rPr>
                <w:rFonts w:cs="Arial"/>
              </w:rPr>
            </w:pPr>
            <w:r w:rsidRPr="0021743D">
              <w:rPr>
                <w:rFonts w:cs="Arial"/>
              </w:rPr>
              <w:t>v současnosti slouží především pro tech. podporu celého životního cyklu produktů SAP</w:t>
            </w:r>
          </w:p>
          <w:p w14:paraId="0FA4CBD3" w14:textId="77777777" w:rsidR="0021743D" w:rsidRPr="0021743D" w:rsidRDefault="0021743D" w:rsidP="0021743D">
            <w:pPr>
              <w:pStyle w:val="Odstavecseseznamem"/>
              <w:numPr>
                <w:ilvl w:val="0"/>
                <w:numId w:val="19"/>
              </w:numPr>
              <w:overflowPunct/>
              <w:autoSpaceDE/>
              <w:autoSpaceDN/>
              <w:adjustRightInd/>
              <w:spacing w:before="120" w:after="120" w:line="240" w:lineRule="exact"/>
              <w:contextualSpacing/>
              <w:jc w:val="both"/>
              <w:textAlignment w:val="auto"/>
              <w:rPr>
                <w:rFonts w:ascii="Arial" w:hAnsi="Arial" w:cs="Arial"/>
                <w:b/>
              </w:rPr>
            </w:pPr>
            <w:r>
              <w:rPr>
                <w:rFonts w:cs="Arial"/>
              </w:rPr>
              <w:t xml:space="preserve"> </w:t>
            </w:r>
            <w:r w:rsidRPr="0021743D">
              <w:rPr>
                <w:rFonts w:ascii="Arial" w:hAnsi="Arial" w:cs="Arial"/>
                <w:b/>
              </w:rPr>
              <w:t>SAP PI</w:t>
            </w:r>
          </w:p>
          <w:p w14:paraId="6C204622" w14:textId="464F7B42" w:rsidR="0021743D" w:rsidRPr="00864A7D" w:rsidRDefault="0021743D" w:rsidP="0021743D">
            <w:pPr>
              <w:numPr>
                <w:ilvl w:val="0"/>
                <w:numId w:val="18"/>
              </w:numPr>
              <w:spacing w:before="120" w:after="120" w:line="240" w:lineRule="exact"/>
              <w:ind w:left="936"/>
              <w:jc w:val="both"/>
              <w:rPr>
                <w:rFonts w:cs="Arial"/>
              </w:rPr>
            </w:pPr>
            <w:r w:rsidRPr="0021743D">
              <w:rPr>
                <w:rFonts w:cs="Arial"/>
              </w:rPr>
              <w:t>prostředí pro komunikaci SAP R/3 s ostatními aplikacemi</w:t>
            </w:r>
          </w:p>
          <w:p w14:paraId="1E0C32F5" w14:textId="0C2CC34E" w:rsidR="009E1E0C" w:rsidRPr="0021743D" w:rsidRDefault="009E1E0C" w:rsidP="009E1E0C">
            <w:pPr>
              <w:pStyle w:val="Odstavecseseznamem"/>
              <w:numPr>
                <w:ilvl w:val="0"/>
                <w:numId w:val="19"/>
              </w:numPr>
              <w:overflowPunct/>
              <w:autoSpaceDE/>
              <w:autoSpaceDN/>
              <w:adjustRightInd/>
              <w:spacing w:before="120" w:after="120" w:line="240" w:lineRule="exact"/>
              <w:contextualSpacing/>
              <w:jc w:val="both"/>
              <w:textAlignment w:val="auto"/>
              <w:rPr>
                <w:rFonts w:ascii="Arial" w:hAnsi="Arial" w:cs="Arial"/>
                <w:b/>
              </w:rPr>
            </w:pPr>
            <w:r w:rsidRPr="0021743D">
              <w:rPr>
                <w:rFonts w:ascii="Arial" w:hAnsi="Arial" w:cs="Arial"/>
                <w:b/>
              </w:rPr>
              <w:t xml:space="preserve">SAP </w:t>
            </w:r>
            <w:proofErr w:type="spellStart"/>
            <w:r w:rsidRPr="0021743D">
              <w:rPr>
                <w:rFonts w:ascii="Arial" w:hAnsi="Arial" w:cs="Arial"/>
                <w:b/>
              </w:rPr>
              <w:t>Logon</w:t>
            </w:r>
            <w:proofErr w:type="spellEnd"/>
          </w:p>
          <w:p w14:paraId="2C4D36FE" w14:textId="7D84D14F" w:rsidR="00613A4B" w:rsidRPr="0021743D" w:rsidRDefault="00613A4B" w:rsidP="00613A4B">
            <w:pPr>
              <w:numPr>
                <w:ilvl w:val="0"/>
                <w:numId w:val="18"/>
              </w:numPr>
              <w:spacing w:before="120" w:after="120" w:line="240" w:lineRule="exact"/>
              <w:ind w:left="936"/>
              <w:jc w:val="both"/>
              <w:rPr>
                <w:rFonts w:cs="Arial"/>
                <w:bCs/>
              </w:rPr>
            </w:pPr>
            <w:r w:rsidRPr="0021743D">
              <w:rPr>
                <w:rFonts w:cs="Arial"/>
                <w:bCs/>
              </w:rPr>
              <w:t xml:space="preserve">Komponenta SAP </w:t>
            </w:r>
            <w:proofErr w:type="spellStart"/>
            <w:r w:rsidRPr="0021743D">
              <w:rPr>
                <w:rFonts w:cs="Arial"/>
                <w:bCs/>
              </w:rPr>
              <w:t>Logon</w:t>
            </w:r>
            <w:proofErr w:type="spellEnd"/>
            <w:r w:rsidRPr="0021743D">
              <w:rPr>
                <w:rFonts w:cs="Arial"/>
                <w:bCs/>
              </w:rPr>
              <w:t xml:space="preserve"> pro Windows</w:t>
            </w:r>
          </w:p>
          <w:p w14:paraId="6B5EBE34" w14:textId="56DECD63" w:rsidR="00613A4B" w:rsidRPr="0021743D" w:rsidRDefault="00613A4B" w:rsidP="00613A4B">
            <w:pPr>
              <w:numPr>
                <w:ilvl w:val="0"/>
                <w:numId w:val="18"/>
              </w:numPr>
              <w:spacing w:before="120" w:after="120" w:line="240" w:lineRule="exact"/>
              <w:ind w:left="936"/>
              <w:jc w:val="both"/>
              <w:rPr>
                <w:rFonts w:cs="Arial"/>
                <w:bCs/>
              </w:rPr>
            </w:pPr>
            <w:r w:rsidRPr="0021743D">
              <w:rPr>
                <w:rFonts w:cs="Arial"/>
                <w:bCs/>
              </w:rPr>
              <w:t xml:space="preserve">760 </w:t>
            </w:r>
            <w:proofErr w:type="spellStart"/>
            <w:r w:rsidRPr="0021743D">
              <w:rPr>
                <w:rFonts w:cs="Arial"/>
                <w:bCs/>
              </w:rPr>
              <w:t>Final</w:t>
            </w:r>
            <w:proofErr w:type="spellEnd"/>
            <w:r w:rsidRPr="0021743D">
              <w:rPr>
                <w:rFonts w:cs="Arial"/>
                <w:bCs/>
              </w:rPr>
              <w:t xml:space="preserve"> </w:t>
            </w:r>
            <w:proofErr w:type="spellStart"/>
            <w:r w:rsidRPr="0021743D">
              <w:rPr>
                <w:rFonts w:cs="Arial"/>
                <w:bCs/>
              </w:rPr>
              <w:t>Release</w:t>
            </w:r>
            <w:proofErr w:type="spellEnd"/>
          </w:p>
          <w:p w14:paraId="3C7A431B" w14:textId="5991937E" w:rsidR="00613A4B" w:rsidRPr="0021743D" w:rsidRDefault="00613A4B" w:rsidP="00613A4B">
            <w:pPr>
              <w:numPr>
                <w:ilvl w:val="0"/>
                <w:numId w:val="18"/>
              </w:numPr>
              <w:spacing w:before="120" w:after="120" w:line="240" w:lineRule="exact"/>
              <w:ind w:left="936"/>
              <w:jc w:val="both"/>
              <w:rPr>
                <w:rFonts w:cs="Arial"/>
                <w:bCs/>
              </w:rPr>
            </w:pPr>
            <w:r w:rsidRPr="0021743D">
              <w:rPr>
                <w:rFonts w:cs="Arial"/>
                <w:bCs/>
              </w:rPr>
              <w:t>Saplogon.exe</w:t>
            </w:r>
          </w:p>
          <w:p w14:paraId="423F2CCD" w14:textId="518CEF3A" w:rsidR="00613A4B" w:rsidRPr="00864A7D" w:rsidRDefault="00613A4B" w:rsidP="00E76203">
            <w:pPr>
              <w:numPr>
                <w:ilvl w:val="0"/>
                <w:numId w:val="18"/>
              </w:numPr>
              <w:spacing w:before="120" w:after="120" w:line="240" w:lineRule="exact"/>
              <w:ind w:left="936"/>
              <w:jc w:val="both"/>
              <w:rPr>
                <w:rFonts w:cs="Arial"/>
                <w:bCs/>
              </w:rPr>
            </w:pPr>
            <w:r w:rsidRPr="0021743D">
              <w:rPr>
                <w:rFonts w:cs="Arial"/>
                <w:bCs/>
              </w:rPr>
              <w:t>Verze souboru 7600.1.8.1161</w:t>
            </w:r>
            <w:r w:rsidR="0021743D">
              <w:rPr>
                <w:rFonts w:cs="Arial"/>
                <w:bCs/>
              </w:rPr>
              <w:t xml:space="preserve">, </w:t>
            </w:r>
            <w:r w:rsidR="0021743D" w:rsidRPr="0021743D">
              <w:rPr>
                <w:rFonts w:cs="Arial"/>
                <w:bCs/>
              </w:rPr>
              <w:t>Build 2030090</w:t>
            </w:r>
            <w:r w:rsidR="0021743D">
              <w:rPr>
                <w:rFonts w:cs="Arial"/>
                <w:bCs/>
              </w:rPr>
              <w:t xml:space="preserve">, </w:t>
            </w:r>
            <w:r w:rsidR="0021743D" w:rsidRPr="0021743D">
              <w:rPr>
                <w:rFonts w:cs="Arial"/>
                <w:bCs/>
              </w:rPr>
              <w:t>Úroveň patche 8</w:t>
            </w:r>
          </w:p>
          <w:p w14:paraId="7B1274F9" w14:textId="36FA7C4D" w:rsidR="00E76203" w:rsidRPr="0021743D" w:rsidRDefault="00E76203" w:rsidP="00E76203">
            <w:pPr>
              <w:pStyle w:val="Odstavecseseznamem"/>
              <w:numPr>
                <w:ilvl w:val="0"/>
                <w:numId w:val="19"/>
              </w:numPr>
              <w:overflowPunct/>
              <w:autoSpaceDE/>
              <w:autoSpaceDN/>
              <w:adjustRightInd/>
              <w:spacing w:before="120" w:after="120" w:line="240" w:lineRule="exact"/>
              <w:contextualSpacing/>
              <w:jc w:val="both"/>
              <w:textAlignment w:val="auto"/>
              <w:rPr>
                <w:rFonts w:ascii="Arial" w:hAnsi="Arial" w:cs="Arial"/>
                <w:b/>
              </w:rPr>
            </w:pPr>
            <w:r w:rsidRPr="0021743D">
              <w:rPr>
                <w:rFonts w:ascii="Arial" w:hAnsi="Arial" w:cs="Arial"/>
                <w:b/>
              </w:rPr>
              <w:t>Využívané moduly</w:t>
            </w:r>
          </w:p>
          <w:p w14:paraId="0E1E5B7D" w14:textId="77777777" w:rsidR="00E76203" w:rsidRPr="0021743D" w:rsidRDefault="00E76203" w:rsidP="00E76203">
            <w:pPr>
              <w:pStyle w:val="Odstavecseseznamem"/>
              <w:numPr>
                <w:ilvl w:val="0"/>
                <w:numId w:val="14"/>
              </w:numPr>
              <w:overflowPunct/>
              <w:autoSpaceDE/>
              <w:autoSpaceDN/>
              <w:adjustRightInd/>
              <w:spacing w:after="200" w:line="276" w:lineRule="auto"/>
              <w:contextualSpacing/>
              <w:textAlignment w:val="auto"/>
              <w:rPr>
                <w:rFonts w:ascii="Arial" w:hAnsi="Arial" w:cs="Arial"/>
              </w:rPr>
            </w:pPr>
            <w:r w:rsidRPr="0021743D">
              <w:rPr>
                <w:rFonts w:ascii="Arial" w:hAnsi="Arial" w:cs="Arial"/>
              </w:rPr>
              <w:t>FI (</w:t>
            </w:r>
            <w:proofErr w:type="spellStart"/>
            <w:r w:rsidRPr="0021743D">
              <w:rPr>
                <w:rFonts w:ascii="Arial" w:hAnsi="Arial" w:cs="Arial"/>
              </w:rPr>
              <w:t>Financial</w:t>
            </w:r>
            <w:proofErr w:type="spellEnd"/>
            <w:r w:rsidRPr="0021743D">
              <w:rPr>
                <w:rFonts w:ascii="Arial" w:hAnsi="Arial" w:cs="Arial"/>
              </w:rPr>
              <w:t xml:space="preserve"> </w:t>
            </w:r>
            <w:proofErr w:type="spellStart"/>
            <w:r w:rsidRPr="0021743D">
              <w:rPr>
                <w:rFonts w:ascii="Arial" w:hAnsi="Arial" w:cs="Arial"/>
              </w:rPr>
              <w:t>Accounting</w:t>
            </w:r>
            <w:proofErr w:type="spellEnd"/>
            <w:r w:rsidRPr="0021743D">
              <w:rPr>
                <w:rFonts w:ascii="Arial" w:hAnsi="Arial" w:cs="Arial"/>
              </w:rPr>
              <w:t>) Finanční účetnictví</w:t>
            </w:r>
          </w:p>
          <w:p w14:paraId="3DA87498" w14:textId="77777777" w:rsidR="00E76203" w:rsidRPr="0021743D" w:rsidRDefault="00E76203" w:rsidP="00E76203">
            <w:pPr>
              <w:pStyle w:val="Odstavecseseznamem"/>
              <w:numPr>
                <w:ilvl w:val="0"/>
                <w:numId w:val="14"/>
              </w:numPr>
              <w:overflowPunct/>
              <w:autoSpaceDE/>
              <w:autoSpaceDN/>
              <w:adjustRightInd/>
              <w:spacing w:after="200" w:line="276" w:lineRule="auto"/>
              <w:contextualSpacing/>
              <w:textAlignment w:val="auto"/>
              <w:rPr>
                <w:rFonts w:ascii="Arial" w:hAnsi="Arial" w:cs="Arial"/>
              </w:rPr>
            </w:pPr>
            <w:r w:rsidRPr="0021743D">
              <w:rPr>
                <w:rFonts w:ascii="Arial" w:hAnsi="Arial" w:cs="Arial"/>
              </w:rPr>
              <w:t xml:space="preserve">CO (Controlling) </w:t>
            </w:r>
            <w:proofErr w:type="spellStart"/>
            <w:r w:rsidRPr="0021743D">
              <w:rPr>
                <w:rFonts w:ascii="Arial" w:hAnsi="Arial" w:cs="Arial"/>
              </w:rPr>
              <w:t>Kontroling</w:t>
            </w:r>
            <w:proofErr w:type="spellEnd"/>
          </w:p>
          <w:p w14:paraId="028DCF2D" w14:textId="77777777" w:rsidR="00E76203" w:rsidRPr="0021743D" w:rsidRDefault="00E76203" w:rsidP="00E76203">
            <w:pPr>
              <w:pStyle w:val="Odstavecseseznamem"/>
              <w:numPr>
                <w:ilvl w:val="0"/>
                <w:numId w:val="14"/>
              </w:numPr>
              <w:overflowPunct/>
              <w:autoSpaceDE/>
              <w:autoSpaceDN/>
              <w:adjustRightInd/>
              <w:spacing w:after="200" w:line="276" w:lineRule="auto"/>
              <w:contextualSpacing/>
              <w:textAlignment w:val="auto"/>
              <w:rPr>
                <w:rFonts w:ascii="Arial" w:hAnsi="Arial" w:cs="Arial"/>
              </w:rPr>
            </w:pPr>
            <w:r w:rsidRPr="0021743D">
              <w:rPr>
                <w:rFonts w:ascii="Arial" w:hAnsi="Arial" w:cs="Arial"/>
              </w:rPr>
              <w:t>AM (</w:t>
            </w:r>
            <w:proofErr w:type="spellStart"/>
            <w:r w:rsidRPr="0021743D">
              <w:rPr>
                <w:rFonts w:ascii="Arial" w:hAnsi="Arial" w:cs="Arial"/>
              </w:rPr>
              <w:t>Asset</w:t>
            </w:r>
            <w:proofErr w:type="spellEnd"/>
            <w:r w:rsidRPr="0021743D">
              <w:rPr>
                <w:rFonts w:ascii="Arial" w:hAnsi="Arial" w:cs="Arial"/>
              </w:rPr>
              <w:t xml:space="preserve"> Management) Evidence majetku</w:t>
            </w:r>
          </w:p>
          <w:p w14:paraId="1551B0AA" w14:textId="77777777" w:rsidR="00E76203" w:rsidRPr="0021743D" w:rsidRDefault="00E76203" w:rsidP="00E76203">
            <w:pPr>
              <w:pStyle w:val="Odstavecseseznamem"/>
              <w:numPr>
                <w:ilvl w:val="0"/>
                <w:numId w:val="14"/>
              </w:numPr>
              <w:overflowPunct/>
              <w:autoSpaceDE/>
              <w:autoSpaceDN/>
              <w:adjustRightInd/>
              <w:spacing w:after="200" w:line="276" w:lineRule="auto"/>
              <w:contextualSpacing/>
              <w:textAlignment w:val="auto"/>
              <w:rPr>
                <w:rFonts w:ascii="Arial" w:hAnsi="Arial" w:cs="Arial"/>
              </w:rPr>
            </w:pPr>
            <w:r w:rsidRPr="0021743D">
              <w:rPr>
                <w:rFonts w:ascii="Arial" w:hAnsi="Arial" w:cs="Arial"/>
              </w:rPr>
              <w:lastRenderedPageBreak/>
              <w:t xml:space="preserve">PM (Plant </w:t>
            </w:r>
            <w:proofErr w:type="spellStart"/>
            <w:r w:rsidRPr="0021743D">
              <w:rPr>
                <w:rFonts w:ascii="Arial" w:hAnsi="Arial" w:cs="Arial"/>
              </w:rPr>
              <w:t>Maintenance</w:t>
            </w:r>
            <w:proofErr w:type="spellEnd"/>
            <w:r w:rsidRPr="0021743D">
              <w:rPr>
                <w:rFonts w:ascii="Arial" w:hAnsi="Arial" w:cs="Arial"/>
              </w:rPr>
              <w:t>) Údržba – od 2019 řešeno mimo IS SAP</w:t>
            </w:r>
          </w:p>
          <w:p w14:paraId="79F32FE4" w14:textId="77777777" w:rsidR="00E76203" w:rsidRPr="0021743D" w:rsidRDefault="00E76203" w:rsidP="00E76203">
            <w:pPr>
              <w:pStyle w:val="Odstavecseseznamem"/>
              <w:numPr>
                <w:ilvl w:val="0"/>
                <w:numId w:val="14"/>
              </w:numPr>
              <w:overflowPunct/>
              <w:autoSpaceDE/>
              <w:autoSpaceDN/>
              <w:adjustRightInd/>
              <w:spacing w:after="200" w:line="276" w:lineRule="auto"/>
              <w:contextualSpacing/>
              <w:textAlignment w:val="auto"/>
              <w:rPr>
                <w:rFonts w:ascii="Arial" w:hAnsi="Arial" w:cs="Arial"/>
              </w:rPr>
            </w:pPr>
            <w:r w:rsidRPr="0021743D">
              <w:rPr>
                <w:rFonts w:ascii="Arial" w:hAnsi="Arial" w:cs="Arial"/>
              </w:rPr>
              <w:t xml:space="preserve">IM/PS (Project </w:t>
            </w:r>
            <w:proofErr w:type="spellStart"/>
            <w:r w:rsidRPr="0021743D">
              <w:rPr>
                <w:rFonts w:ascii="Arial" w:hAnsi="Arial" w:cs="Arial"/>
              </w:rPr>
              <w:t>system</w:t>
            </w:r>
            <w:proofErr w:type="spellEnd"/>
            <w:r w:rsidRPr="0021743D">
              <w:rPr>
                <w:rFonts w:ascii="Arial" w:hAnsi="Arial" w:cs="Arial"/>
              </w:rPr>
              <w:t>) Investice majetku a Plánování dlouhodobých projektů</w:t>
            </w:r>
          </w:p>
          <w:p w14:paraId="01812F46" w14:textId="77777777" w:rsidR="00E76203" w:rsidRPr="0021743D" w:rsidRDefault="00E76203" w:rsidP="00E76203">
            <w:pPr>
              <w:pStyle w:val="Odstavecseseznamem"/>
              <w:numPr>
                <w:ilvl w:val="0"/>
                <w:numId w:val="14"/>
              </w:numPr>
              <w:overflowPunct/>
              <w:autoSpaceDE/>
              <w:autoSpaceDN/>
              <w:adjustRightInd/>
              <w:spacing w:after="200" w:line="276" w:lineRule="auto"/>
              <w:contextualSpacing/>
              <w:textAlignment w:val="auto"/>
              <w:rPr>
                <w:rFonts w:ascii="Arial" w:hAnsi="Arial" w:cs="Arial"/>
              </w:rPr>
            </w:pPr>
            <w:r w:rsidRPr="0021743D">
              <w:rPr>
                <w:rFonts w:ascii="Arial" w:hAnsi="Arial" w:cs="Arial"/>
              </w:rPr>
              <w:t>MM (</w:t>
            </w:r>
            <w:proofErr w:type="spellStart"/>
            <w:r w:rsidRPr="0021743D">
              <w:rPr>
                <w:rFonts w:ascii="Arial" w:hAnsi="Arial" w:cs="Arial"/>
              </w:rPr>
              <w:t>Materials</w:t>
            </w:r>
            <w:proofErr w:type="spellEnd"/>
            <w:r w:rsidRPr="0021743D">
              <w:rPr>
                <w:rFonts w:ascii="Arial" w:hAnsi="Arial" w:cs="Arial"/>
              </w:rPr>
              <w:t xml:space="preserve"> Management) Skladové hospodářství a logistika</w:t>
            </w:r>
          </w:p>
          <w:p w14:paraId="53FF4434" w14:textId="77777777" w:rsidR="00E76203" w:rsidRPr="0021743D" w:rsidRDefault="00E76203" w:rsidP="00E76203">
            <w:pPr>
              <w:pStyle w:val="Odstavecseseznamem"/>
              <w:numPr>
                <w:ilvl w:val="0"/>
                <w:numId w:val="14"/>
              </w:numPr>
              <w:overflowPunct/>
              <w:autoSpaceDE/>
              <w:autoSpaceDN/>
              <w:adjustRightInd/>
              <w:spacing w:after="200" w:line="276" w:lineRule="auto"/>
              <w:contextualSpacing/>
              <w:textAlignment w:val="auto"/>
              <w:rPr>
                <w:rFonts w:ascii="Arial" w:hAnsi="Arial" w:cs="Arial"/>
              </w:rPr>
            </w:pPr>
            <w:r w:rsidRPr="0021743D">
              <w:rPr>
                <w:rFonts w:ascii="Arial" w:hAnsi="Arial" w:cs="Arial"/>
              </w:rPr>
              <w:t>QM (</w:t>
            </w:r>
            <w:proofErr w:type="spellStart"/>
            <w:r w:rsidRPr="0021743D">
              <w:rPr>
                <w:rFonts w:ascii="Arial" w:hAnsi="Arial" w:cs="Arial"/>
              </w:rPr>
              <w:t>Quality</w:t>
            </w:r>
            <w:proofErr w:type="spellEnd"/>
            <w:r w:rsidRPr="0021743D">
              <w:rPr>
                <w:rFonts w:ascii="Arial" w:hAnsi="Arial" w:cs="Arial"/>
              </w:rPr>
              <w:t xml:space="preserve"> Management) Management kvality,</w:t>
            </w:r>
          </w:p>
          <w:p w14:paraId="02E86C71" w14:textId="77777777" w:rsidR="00E76203" w:rsidRPr="0021743D" w:rsidRDefault="00E76203" w:rsidP="00E76203">
            <w:pPr>
              <w:pStyle w:val="Odstavecseseznamem"/>
              <w:numPr>
                <w:ilvl w:val="0"/>
                <w:numId w:val="14"/>
              </w:numPr>
              <w:overflowPunct/>
              <w:autoSpaceDE/>
              <w:autoSpaceDN/>
              <w:adjustRightInd/>
              <w:spacing w:after="200" w:line="276" w:lineRule="auto"/>
              <w:contextualSpacing/>
              <w:textAlignment w:val="auto"/>
              <w:rPr>
                <w:rFonts w:ascii="Arial" w:hAnsi="Arial" w:cs="Arial"/>
              </w:rPr>
            </w:pPr>
            <w:r w:rsidRPr="0021743D">
              <w:rPr>
                <w:rFonts w:ascii="Arial" w:hAnsi="Arial" w:cs="Arial"/>
              </w:rPr>
              <w:t xml:space="preserve">SD (Sales and </w:t>
            </w:r>
            <w:proofErr w:type="spellStart"/>
            <w:r w:rsidRPr="0021743D">
              <w:rPr>
                <w:rFonts w:ascii="Arial" w:hAnsi="Arial" w:cs="Arial"/>
              </w:rPr>
              <w:t>Distribution</w:t>
            </w:r>
            <w:proofErr w:type="spellEnd"/>
            <w:r w:rsidRPr="0021743D">
              <w:rPr>
                <w:rFonts w:ascii="Arial" w:hAnsi="Arial" w:cs="Arial"/>
              </w:rPr>
              <w:t>) Podpora prodeje</w:t>
            </w:r>
          </w:p>
          <w:p w14:paraId="2994D90F" w14:textId="77777777" w:rsidR="00E76203" w:rsidRPr="0021743D" w:rsidRDefault="00E76203" w:rsidP="00E76203">
            <w:pPr>
              <w:pStyle w:val="Odstavecseseznamem"/>
              <w:numPr>
                <w:ilvl w:val="0"/>
                <w:numId w:val="14"/>
              </w:numPr>
              <w:overflowPunct/>
              <w:autoSpaceDE/>
              <w:autoSpaceDN/>
              <w:adjustRightInd/>
              <w:spacing w:after="200" w:line="276" w:lineRule="auto"/>
              <w:contextualSpacing/>
              <w:textAlignment w:val="auto"/>
              <w:rPr>
                <w:rFonts w:ascii="Arial" w:hAnsi="Arial" w:cs="Arial"/>
              </w:rPr>
            </w:pPr>
            <w:r w:rsidRPr="0021743D">
              <w:rPr>
                <w:rFonts w:ascii="Arial" w:hAnsi="Arial" w:cs="Arial"/>
              </w:rPr>
              <w:t>BC (</w:t>
            </w:r>
            <w:proofErr w:type="spellStart"/>
            <w:r w:rsidRPr="0021743D">
              <w:rPr>
                <w:rFonts w:ascii="Arial" w:hAnsi="Arial" w:cs="Arial"/>
              </w:rPr>
              <w:t>Basis</w:t>
            </w:r>
            <w:proofErr w:type="spellEnd"/>
            <w:r w:rsidRPr="0021743D">
              <w:rPr>
                <w:rFonts w:ascii="Arial" w:hAnsi="Arial" w:cs="Arial"/>
              </w:rPr>
              <w:t xml:space="preserve"> </w:t>
            </w:r>
            <w:proofErr w:type="spellStart"/>
            <w:r w:rsidRPr="0021743D">
              <w:rPr>
                <w:rFonts w:ascii="Arial" w:hAnsi="Arial" w:cs="Arial"/>
              </w:rPr>
              <w:t>Components</w:t>
            </w:r>
            <w:proofErr w:type="spellEnd"/>
            <w:r w:rsidRPr="0021743D">
              <w:rPr>
                <w:rFonts w:ascii="Arial" w:hAnsi="Arial" w:cs="Arial"/>
              </w:rPr>
              <w:t>), Báze</w:t>
            </w:r>
          </w:p>
          <w:p w14:paraId="3474F14B" w14:textId="128590FC" w:rsidR="002B4B60" w:rsidRPr="002B4B60" w:rsidRDefault="00E76203" w:rsidP="002B4B60">
            <w:pPr>
              <w:pStyle w:val="Odstavecseseznamem"/>
              <w:numPr>
                <w:ilvl w:val="0"/>
                <w:numId w:val="14"/>
              </w:numPr>
              <w:overflowPunct/>
              <w:autoSpaceDE/>
              <w:autoSpaceDN/>
              <w:adjustRightInd/>
              <w:spacing w:after="200" w:line="276" w:lineRule="auto"/>
              <w:contextualSpacing/>
              <w:textAlignment w:val="auto"/>
              <w:rPr>
                <w:rFonts w:ascii="Arial" w:hAnsi="Arial" w:cs="Arial"/>
              </w:rPr>
            </w:pPr>
            <w:r w:rsidRPr="0021743D">
              <w:rPr>
                <w:rFonts w:ascii="Arial" w:hAnsi="Arial" w:cs="Arial"/>
              </w:rPr>
              <w:t>FIS – integrovaný systém pro vytěžování došlých faktur.</w:t>
            </w:r>
            <w:bookmarkEnd w:id="0"/>
          </w:p>
        </w:tc>
        <w:tc>
          <w:tcPr>
            <w:tcW w:w="2762" w:type="dxa"/>
            <w:vAlign w:val="center"/>
          </w:tcPr>
          <w:p w14:paraId="2DD7CABE" w14:textId="123E8491" w:rsidR="00DD5F03" w:rsidRPr="0021743D" w:rsidRDefault="00DD5F03" w:rsidP="00A37A4E">
            <w:pPr>
              <w:spacing w:before="60" w:after="60"/>
              <w:rPr>
                <w:rFonts w:cs="Arial"/>
                <w:highlight w:val="yellow"/>
              </w:rPr>
            </w:pPr>
          </w:p>
          <w:p w14:paraId="60C30933" w14:textId="66381A12" w:rsidR="00A14277" w:rsidRPr="0021743D" w:rsidRDefault="00A14277" w:rsidP="00A14277">
            <w:pPr>
              <w:spacing w:after="200" w:line="276" w:lineRule="auto"/>
              <w:contextualSpacing/>
              <w:rPr>
                <w:rFonts w:cs="Arial"/>
              </w:rPr>
            </w:pPr>
            <w:r w:rsidRPr="0021743D">
              <w:rPr>
                <w:rFonts w:cs="Arial"/>
              </w:rPr>
              <w:t xml:space="preserve">SAP ERP 6.0 </w:t>
            </w:r>
          </w:p>
          <w:p w14:paraId="74B131FE" w14:textId="77777777" w:rsidR="00FA578C" w:rsidRPr="0021743D" w:rsidRDefault="00FA578C" w:rsidP="00A14277">
            <w:pPr>
              <w:spacing w:after="200" w:line="276" w:lineRule="auto"/>
              <w:contextualSpacing/>
              <w:rPr>
                <w:rFonts w:cs="Arial"/>
                <w:highlight w:val="yellow"/>
              </w:rPr>
            </w:pPr>
          </w:p>
          <w:p w14:paraId="19D2FDCB" w14:textId="01B30914" w:rsidR="0021743D" w:rsidRPr="0021743D" w:rsidRDefault="00F461F3" w:rsidP="0021743D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proofErr w:type="gramStart"/>
            <w:r>
              <w:rPr>
                <w:rFonts w:cs="Arial"/>
                <w:color w:val="000000"/>
              </w:rPr>
              <w:t xml:space="preserve">HW: </w:t>
            </w:r>
            <w:r w:rsidR="0021743D" w:rsidRPr="0021743D">
              <w:rPr>
                <w:rFonts w:cs="Arial"/>
                <w:color w:val="000000"/>
              </w:rPr>
              <w:t xml:space="preserve"> IBM</w:t>
            </w:r>
            <w:proofErr w:type="gramEnd"/>
            <w:r w:rsidR="0021743D" w:rsidRPr="0021743D">
              <w:rPr>
                <w:rFonts w:cs="Arial"/>
                <w:color w:val="000000"/>
              </w:rPr>
              <w:t xml:space="preserve"> AIX</w:t>
            </w:r>
          </w:p>
          <w:p w14:paraId="32E4752D" w14:textId="6D2599F9" w:rsidR="0021743D" w:rsidRPr="0021743D" w:rsidRDefault="0021743D" w:rsidP="0021743D">
            <w:pPr>
              <w:autoSpaceDE w:val="0"/>
              <w:autoSpaceDN w:val="0"/>
              <w:adjustRightInd w:val="0"/>
              <w:rPr>
                <w:rFonts w:cs="Arial"/>
                <w:color w:val="E26200"/>
              </w:rPr>
            </w:pPr>
            <w:r w:rsidRPr="0021743D">
              <w:rPr>
                <w:rFonts w:cs="Arial"/>
                <w:color w:val="000000"/>
              </w:rPr>
              <w:t>PowerPC_POWER9</w:t>
            </w:r>
          </w:p>
          <w:p w14:paraId="3A440F69" w14:textId="77777777" w:rsidR="00F461F3" w:rsidRDefault="00F461F3" w:rsidP="0021743D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  <w:p w14:paraId="39B3EA67" w14:textId="3BE77A1A" w:rsidR="0021743D" w:rsidRPr="0021743D" w:rsidRDefault="0021743D" w:rsidP="0021743D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21743D">
              <w:rPr>
                <w:rFonts w:cs="Arial"/>
                <w:color w:val="000000"/>
              </w:rPr>
              <w:t>Operační systém: AIX</w:t>
            </w:r>
          </w:p>
          <w:p w14:paraId="4B3B4589" w14:textId="77777777" w:rsidR="00F461F3" w:rsidRDefault="00F461F3" w:rsidP="0021743D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  <w:p w14:paraId="377DC032" w14:textId="42156E75" w:rsidR="00F461F3" w:rsidRDefault="0021743D" w:rsidP="0021743D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21743D">
              <w:rPr>
                <w:rFonts w:cs="Arial"/>
                <w:color w:val="000000"/>
              </w:rPr>
              <w:t xml:space="preserve">Verze operačního systému: </w:t>
            </w:r>
          </w:p>
          <w:p w14:paraId="4634475C" w14:textId="6E42FE26" w:rsidR="0021743D" w:rsidRPr="0021743D" w:rsidRDefault="0021743D" w:rsidP="0021743D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21743D">
              <w:rPr>
                <w:rFonts w:cs="Arial"/>
                <w:color w:val="000000"/>
              </w:rPr>
              <w:t xml:space="preserve">AIX </w:t>
            </w:r>
            <w:proofErr w:type="spellStart"/>
            <w:r w:rsidRPr="0021743D">
              <w:rPr>
                <w:rFonts w:cs="Arial"/>
                <w:color w:val="000000"/>
              </w:rPr>
              <w:t>version</w:t>
            </w:r>
            <w:proofErr w:type="spellEnd"/>
            <w:r w:rsidRPr="0021743D">
              <w:rPr>
                <w:rFonts w:cs="Arial"/>
                <w:color w:val="000000"/>
              </w:rPr>
              <w:t xml:space="preserve"> 7200-05-02-2114</w:t>
            </w:r>
          </w:p>
          <w:p w14:paraId="7EB9DC00" w14:textId="77777777" w:rsidR="00F461F3" w:rsidRDefault="00F461F3" w:rsidP="0021743D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  <w:p w14:paraId="5EA27B5F" w14:textId="228C62DF" w:rsidR="0021743D" w:rsidRPr="0021743D" w:rsidRDefault="0021743D" w:rsidP="0021743D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21743D">
              <w:rPr>
                <w:rFonts w:cs="Arial"/>
                <w:color w:val="000000"/>
              </w:rPr>
              <w:t>DB systém: ORACLE 19c</w:t>
            </w:r>
          </w:p>
          <w:p w14:paraId="0F03DEF0" w14:textId="77777777" w:rsidR="00F461F3" w:rsidRDefault="00F461F3" w:rsidP="0021743D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  <w:p w14:paraId="1A63DB62" w14:textId="5690E090" w:rsidR="0021743D" w:rsidRPr="0021743D" w:rsidRDefault="0021743D" w:rsidP="0021743D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21743D">
              <w:rPr>
                <w:rFonts w:cs="Arial"/>
                <w:color w:val="000000"/>
              </w:rPr>
              <w:t>SAP Kernel 7.53, patch level 801</w:t>
            </w:r>
          </w:p>
          <w:p w14:paraId="034EB344" w14:textId="15DB6B01" w:rsidR="0021743D" w:rsidRPr="0021743D" w:rsidRDefault="0021743D" w:rsidP="0021743D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  <w:p w14:paraId="1DA4BA6A" w14:textId="77777777" w:rsidR="0021743D" w:rsidRPr="0021743D" w:rsidRDefault="0021743D" w:rsidP="0021743D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  <w:p w14:paraId="11B9C23F" w14:textId="77777777" w:rsidR="00A14277" w:rsidRPr="0021743D" w:rsidRDefault="00A14277" w:rsidP="00A14277">
            <w:pPr>
              <w:spacing w:after="200" w:line="276" w:lineRule="auto"/>
              <w:contextualSpacing/>
              <w:rPr>
                <w:rFonts w:cs="Arial"/>
              </w:rPr>
            </w:pPr>
            <w:proofErr w:type="spellStart"/>
            <w:r w:rsidRPr="0021743D">
              <w:rPr>
                <w:rFonts w:cs="Arial"/>
              </w:rPr>
              <w:t>NetWeaver</w:t>
            </w:r>
            <w:proofErr w:type="spellEnd"/>
            <w:r w:rsidRPr="0021743D">
              <w:rPr>
                <w:rFonts w:cs="Arial"/>
              </w:rPr>
              <w:t xml:space="preserve"> PI – verze SAP NETWEAVER 7.4,</w:t>
            </w:r>
          </w:p>
          <w:p w14:paraId="1E5D9872" w14:textId="42B7D9CE" w:rsidR="00A14277" w:rsidRPr="0021743D" w:rsidRDefault="00A14277" w:rsidP="00A14277">
            <w:pPr>
              <w:spacing w:after="200" w:line="276" w:lineRule="auto"/>
              <w:contextualSpacing/>
              <w:rPr>
                <w:rFonts w:cs="Arial"/>
              </w:rPr>
            </w:pPr>
          </w:p>
          <w:p w14:paraId="78FF27DD" w14:textId="77777777" w:rsidR="00F44C8D" w:rsidRPr="0021743D" w:rsidRDefault="00F44C8D" w:rsidP="00A14277">
            <w:pPr>
              <w:spacing w:after="200" w:line="276" w:lineRule="auto"/>
              <w:contextualSpacing/>
              <w:rPr>
                <w:rFonts w:cs="Arial"/>
              </w:rPr>
            </w:pPr>
          </w:p>
          <w:p w14:paraId="703D605E" w14:textId="77777777" w:rsidR="00A14277" w:rsidRPr="0021743D" w:rsidRDefault="00A14277" w:rsidP="00A37A4E">
            <w:pPr>
              <w:spacing w:before="60" w:after="60"/>
              <w:rPr>
                <w:rFonts w:cs="Arial"/>
                <w:highlight w:val="yellow"/>
              </w:rPr>
            </w:pPr>
          </w:p>
          <w:p w14:paraId="331F4170" w14:textId="511E2BF8" w:rsidR="00CA7572" w:rsidRPr="0021743D" w:rsidRDefault="00CA7572" w:rsidP="00A37A4E">
            <w:pPr>
              <w:spacing w:before="60" w:after="60"/>
              <w:rPr>
                <w:rFonts w:cs="Arial"/>
                <w:highlight w:val="yellow"/>
              </w:rPr>
            </w:pPr>
          </w:p>
          <w:p w14:paraId="0D89B179" w14:textId="766A2367" w:rsidR="00CA7572" w:rsidRPr="0021743D" w:rsidRDefault="00CA7572" w:rsidP="00A37A4E">
            <w:pPr>
              <w:spacing w:before="60" w:after="60"/>
              <w:rPr>
                <w:rFonts w:cs="Arial"/>
                <w:highlight w:val="yellow"/>
              </w:rPr>
            </w:pPr>
          </w:p>
          <w:p w14:paraId="60DD2C50" w14:textId="1FF9E9AF" w:rsidR="00CA7572" w:rsidRPr="0021743D" w:rsidRDefault="00CA7572" w:rsidP="00A37A4E">
            <w:pPr>
              <w:spacing w:before="60" w:after="60"/>
              <w:rPr>
                <w:rFonts w:cs="Arial"/>
                <w:highlight w:val="yellow"/>
              </w:rPr>
            </w:pPr>
          </w:p>
          <w:p w14:paraId="51869246" w14:textId="32A66E02" w:rsidR="00CA7572" w:rsidRPr="0021743D" w:rsidRDefault="00CA7572" w:rsidP="00A37A4E">
            <w:pPr>
              <w:spacing w:before="60" w:after="60"/>
              <w:rPr>
                <w:rFonts w:cs="Arial"/>
                <w:highlight w:val="yellow"/>
              </w:rPr>
            </w:pPr>
          </w:p>
          <w:p w14:paraId="35D70FC1" w14:textId="16842E77" w:rsidR="00CA7572" w:rsidRPr="0021743D" w:rsidRDefault="00CA7572" w:rsidP="00A37A4E">
            <w:pPr>
              <w:spacing w:before="60" w:after="60"/>
              <w:rPr>
                <w:rFonts w:cs="Arial"/>
                <w:highlight w:val="yellow"/>
              </w:rPr>
            </w:pPr>
          </w:p>
          <w:p w14:paraId="05598D03" w14:textId="42A15B02" w:rsidR="00DD5F03" w:rsidRPr="0021743D" w:rsidRDefault="00DD5F03" w:rsidP="00A37A4E">
            <w:pPr>
              <w:spacing w:before="60" w:after="60"/>
              <w:rPr>
                <w:rFonts w:cs="Arial"/>
                <w:highlight w:val="yellow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6B561C76" w14:textId="77777777" w:rsidR="009F2455" w:rsidRPr="0021743D" w:rsidRDefault="009F2455" w:rsidP="00964168">
            <w:pPr>
              <w:spacing w:before="60" w:after="60"/>
              <w:rPr>
                <w:rFonts w:cs="Arial"/>
              </w:rPr>
            </w:pPr>
          </w:p>
          <w:p w14:paraId="752F8172" w14:textId="2FA64B8F" w:rsidR="00DD5F03" w:rsidRPr="0021743D" w:rsidRDefault="009E1E0C" w:rsidP="00964168">
            <w:pPr>
              <w:spacing w:before="60" w:after="60"/>
              <w:rPr>
                <w:rFonts w:cs="Arial"/>
              </w:rPr>
            </w:pPr>
            <w:r w:rsidRPr="0021743D">
              <w:rPr>
                <w:rFonts w:cs="Arial"/>
              </w:rPr>
              <w:t>Tlustý klient</w:t>
            </w:r>
          </w:p>
          <w:p w14:paraId="5783597F" w14:textId="43711F71" w:rsidR="009E1E0C" w:rsidRPr="0021743D" w:rsidRDefault="009E1E0C" w:rsidP="00964168">
            <w:pPr>
              <w:spacing w:before="60" w:after="60"/>
              <w:rPr>
                <w:rFonts w:cs="Arial"/>
                <w:highlight w:val="yellow"/>
              </w:rPr>
            </w:pPr>
            <w:r w:rsidRPr="0021743D">
              <w:rPr>
                <w:rFonts w:cs="Arial"/>
              </w:rPr>
              <w:t xml:space="preserve">SAP </w:t>
            </w:r>
            <w:proofErr w:type="spellStart"/>
            <w:r w:rsidRPr="0021743D">
              <w:rPr>
                <w:rFonts w:cs="Arial"/>
              </w:rPr>
              <w:t>Logon</w:t>
            </w:r>
            <w:proofErr w:type="spellEnd"/>
            <w:r w:rsidR="00BE7A36" w:rsidRPr="0021743D">
              <w:rPr>
                <w:rFonts w:cs="Arial"/>
              </w:rPr>
              <w:t xml:space="preserve"> – SAP GUI verze 7.60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733755D4" w14:textId="77777777" w:rsidR="00CA7572" w:rsidRPr="0021743D" w:rsidRDefault="00CA7572" w:rsidP="00E5688E">
            <w:pPr>
              <w:spacing w:before="60" w:after="60"/>
              <w:rPr>
                <w:rFonts w:cs="Arial"/>
              </w:rPr>
            </w:pPr>
          </w:p>
          <w:p w14:paraId="59091844" w14:textId="77777777" w:rsidR="00CA7572" w:rsidRPr="0021743D" w:rsidRDefault="00CA7572" w:rsidP="00E5688E">
            <w:pPr>
              <w:spacing w:before="60" w:after="60"/>
              <w:rPr>
                <w:rFonts w:cs="Arial"/>
              </w:rPr>
            </w:pPr>
          </w:p>
          <w:p w14:paraId="646DC4F3" w14:textId="77777777" w:rsidR="00CA7572" w:rsidRPr="0021743D" w:rsidRDefault="00CA7572" w:rsidP="00E5688E">
            <w:pPr>
              <w:spacing w:before="60" w:after="60"/>
              <w:rPr>
                <w:rFonts w:cs="Arial"/>
              </w:rPr>
            </w:pPr>
          </w:p>
          <w:p w14:paraId="717B08CF" w14:textId="77777777" w:rsidR="00CA7572" w:rsidRPr="0021743D" w:rsidRDefault="00CA7572" w:rsidP="00E5688E">
            <w:pPr>
              <w:spacing w:before="60" w:after="60"/>
              <w:rPr>
                <w:rFonts w:cs="Arial"/>
              </w:rPr>
            </w:pPr>
          </w:p>
          <w:p w14:paraId="6984784C" w14:textId="77777777" w:rsidR="00CA7572" w:rsidRPr="0021743D" w:rsidRDefault="00CA7572" w:rsidP="00E5688E">
            <w:pPr>
              <w:spacing w:before="60" w:after="60"/>
              <w:rPr>
                <w:rFonts w:cs="Arial"/>
              </w:rPr>
            </w:pPr>
          </w:p>
          <w:p w14:paraId="454827F5" w14:textId="77777777" w:rsidR="00CA7572" w:rsidRPr="0021743D" w:rsidRDefault="00CA7572" w:rsidP="00E5688E">
            <w:pPr>
              <w:spacing w:before="60" w:after="60"/>
              <w:rPr>
                <w:rFonts w:cs="Arial"/>
              </w:rPr>
            </w:pPr>
          </w:p>
          <w:p w14:paraId="092B93A1" w14:textId="1E05A862" w:rsidR="00DD5F03" w:rsidRPr="0021743D" w:rsidRDefault="001E64F4" w:rsidP="00E5688E">
            <w:pPr>
              <w:spacing w:before="60" w:after="60"/>
              <w:rPr>
                <w:rFonts w:cs="Arial"/>
              </w:rPr>
            </w:pPr>
            <w:r w:rsidRPr="0021743D">
              <w:rPr>
                <w:rFonts w:cs="Arial"/>
              </w:rPr>
              <w:t>ERP – CEQ</w:t>
            </w:r>
          </w:p>
          <w:p w14:paraId="0C817DED" w14:textId="77777777" w:rsidR="001E64F4" w:rsidRPr="0021743D" w:rsidRDefault="001E64F4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4FF34E06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146975A0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19383A41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11995B62" w14:textId="77777777" w:rsidR="0021743D" w:rsidRDefault="0021743D" w:rsidP="00CC5921">
            <w:pPr>
              <w:spacing w:before="60" w:after="60"/>
              <w:rPr>
                <w:rFonts w:cs="Arial"/>
              </w:rPr>
            </w:pPr>
          </w:p>
          <w:p w14:paraId="77348DEE" w14:textId="77777777" w:rsidR="0021743D" w:rsidRDefault="0021743D" w:rsidP="00CC5921">
            <w:pPr>
              <w:spacing w:before="60" w:after="60"/>
              <w:rPr>
                <w:rFonts w:cs="Arial"/>
              </w:rPr>
            </w:pPr>
          </w:p>
          <w:p w14:paraId="4A271CA1" w14:textId="77777777" w:rsidR="0021743D" w:rsidRDefault="0021743D" w:rsidP="00CC5921">
            <w:pPr>
              <w:spacing w:before="60" w:after="60"/>
              <w:rPr>
                <w:rFonts w:cs="Arial"/>
              </w:rPr>
            </w:pPr>
          </w:p>
          <w:p w14:paraId="70449EDA" w14:textId="77777777" w:rsidR="0021743D" w:rsidRDefault="0021743D" w:rsidP="00CC5921">
            <w:pPr>
              <w:spacing w:before="60" w:after="60"/>
              <w:rPr>
                <w:rFonts w:cs="Arial"/>
              </w:rPr>
            </w:pPr>
          </w:p>
          <w:p w14:paraId="3711E236" w14:textId="138EF228" w:rsidR="00CC5921" w:rsidRPr="0021743D" w:rsidRDefault="00CC5921" w:rsidP="00CC5921">
            <w:pPr>
              <w:spacing w:before="60" w:after="60"/>
              <w:rPr>
                <w:rFonts w:cs="Arial"/>
                <w:highlight w:val="yellow"/>
              </w:rPr>
            </w:pPr>
            <w:r w:rsidRPr="0021743D">
              <w:rPr>
                <w:rFonts w:cs="Arial"/>
              </w:rPr>
              <w:t>PI – CPT</w:t>
            </w:r>
          </w:p>
          <w:p w14:paraId="2C53026C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53909000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210C6A2E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10278E0E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79D3DBC5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3DDC6143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7D858C02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01BDAD36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574802F3" w14:textId="77777777" w:rsidR="00700E1D" w:rsidRPr="0021743D" w:rsidRDefault="00700E1D" w:rsidP="00E5688E">
            <w:pPr>
              <w:spacing w:before="60" w:after="60"/>
              <w:rPr>
                <w:rFonts w:cs="Arial"/>
              </w:rPr>
            </w:pPr>
          </w:p>
          <w:p w14:paraId="7AE498A3" w14:textId="77777777" w:rsidR="00700E1D" w:rsidRPr="0021743D" w:rsidRDefault="00700E1D" w:rsidP="00E5688E">
            <w:pPr>
              <w:spacing w:before="60" w:after="60"/>
              <w:rPr>
                <w:rFonts w:cs="Arial"/>
              </w:rPr>
            </w:pPr>
          </w:p>
          <w:p w14:paraId="650D39D2" w14:textId="1505ABFC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</w:tc>
        <w:tc>
          <w:tcPr>
            <w:tcW w:w="1147" w:type="dxa"/>
          </w:tcPr>
          <w:p w14:paraId="348EDB8A" w14:textId="77777777" w:rsidR="00CA7572" w:rsidRPr="0021743D" w:rsidRDefault="00CA7572" w:rsidP="00E5688E">
            <w:pPr>
              <w:spacing w:before="60" w:after="60"/>
              <w:rPr>
                <w:rFonts w:cs="Arial"/>
              </w:rPr>
            </w:pPr>
          </w:p>
          <w:p w14:paraId="0F85942D" w14:textId="77777777" w:rsidR="00CA7572" w:rsidRPr="0021743D" w:rsidRDefault="00CA7572" w:rsidP="00E5688E">
            <w:pPr>
              <w:spacing w:before="60" w:after="60"/>
              <w:rPr>
                <w:rFonts w:cs="Arial"/>
              </w:rPr>
            </w:pPr>
          </w:p>
          <w:p w14:paraId="11D3A70A" w14:textId="77777777" w:rsidR="00CA7572" w:rsidRPr="0021743D" w:rsidRDefault="00CA7572" w:rsidP="00E5688E">
            <w:pPr>
              <w:spacing w:before="60" w:after="60"/>
              <w:rPr>
                <w:rFonts w:cs="Arial"/>
              </w:rPr>
            </w:pPr>
          </w:p>
          <w:p w14:paraId="64789306" w14:textId="77777777" w:rsidR="00CA7572" w:rsidRPr="0021743D" w:rsidRDefault="00CA7572" w:rsidP="00E5688E">
            <w:pPr>
              <w:spacing w:before="60" w:after="60"/>
              <w:rPr>
                <w:rFonts w:cs="Arial"/>
              </w:rPr>
            </w:pPr>
          </w:p>
          <w:p w14:paraId="114B13A0" w14:textId="77777777" w:rsidR="00CA7572" w:rsidRPr="0021743D" w:rsidRDefault="00CA7572" w:rsidP="00E5688E">
            <w:pPr>
              <w:spacing w:before="60" w:after="60"/>
              <w:rPr>
                <w:rFonts w:cs="Arial"/>
              </w:rPr>
            </w:pPr>
          </w:p>
          <w:p w14:paraId="001042C1" w14:textId="77777777" w:rsidR="00CA7572" w:rsidRPr="0021743D" w:rsidRDefault="00CA7572" w:rsidP="00E5688E">
            <w:pPr>
              <w:spacing w:before="60" w:after="60"/>
              <w:rPr>
                <w:rFonts w:cs="Arial"/>
              </w:rPr>
            </w:pPr>
          </w:p>
          <w:p w14:paraId="280218C3" w14:textId="26ED7E3A" w:rsidR="00DD5F03" w:rsidRPr="0021743D" w:rsidRDefault="001E64F4" w:rsidP="00E5688E">
            <w:pPr>
              <w:spacing w:before="60" w:after="60"/>
              <w:rPr>
                <w:rFonts w:cs="Arial"/>
              </w:rPr>
            </w:pPr>
            <w:r w:rsidRPr="0021743D">
              <w:rPr>
                <w:rFonts w:cs="Arial"/>
              </w:rPr>
              <w:t>ERP – CET</w:t>
            </w:r>
          </w:p>
          <w:p w14:paraId="3DAE077E" w14:textId="77777777" w:rsidR="001E64F4" w:rsidRPr="0021743D" w:rsidRDefault="001E64F4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49CF0E27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78BEB6D2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7612EA09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19E071F9" w14:textId="77777777" w:rsidR="0021743D" w:rsidRDefault="0021743D" w:rsidP="00CC5921">
            <w:pPr>
              <w:spacing w:before="60" w:after="60"/>
              <w:rPr>
                <w:rFonts w:cs="Arial"/>
              </w:rPr>
            </w:pPr>
          </w:p>
          <w:p w14:paraId="3E257EF8" w14:textId="77777777" w:rsidR="0021743D" w:rsidRDefault="0021743D" w:rsidP="00CC5921">
            <w:pPr>
              <w:spacing w:before="60" w:after="60"/>
              <w:rPr>
                <w:rFonts w:cs="Arial"/>
              </w:rPr>
            </w:pPr>
          </w:p>
          <w:p w14:paraId="62ED96E2" w14:textId="77777777" w:rsidR="0021743D" w:rsidRDefault="0021743D" w:rsidP="00CC5921">
            <w:pPr>
              <w:spacing w:before="60" w:after="60"/>
              <w:rPr>
                <w:rFonts w:cs="Arial"/>
              </w:rPr>
            </w:pPr>
          </w:p>
          <w:p w14:paraId="1978FACE" w14:textId="3F84C104" w:rsidR="00CC5921" w:rsidRPr="0021743D" w:rsidRDefault="00CC5921" w:rsidP="00CC5921">
            <w:pPr>
              <w:spacing w:before="60" w:after="60"/>
              <w:rPr>
                <w:rFonts w:cs="Arial"/>
                <w:highlight w:val="yellow"/>
              </w:rPr>
            </w:pPr>
            <w:r w:rsidRPr="0021743D">
              <w:rPr>
                <w:rFonts w:cs="Arial"/>
              </w:rPr>
              <w:t>PI – CPT</w:t>
            </w:r>
          </w:p>
          <w:p w14:paraId="422E4687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3B80EF01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150F33FD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520331DD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1DEF9208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5179BFDF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34692AF9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0CA34DFF" w14:textId="7777777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  <w:p w14:paraId="469EC3D0" w14:textId="5AAE6BD7" w:rsidR="00CA7572" w:rsidRPr="0021743D" w:rsidRDefault="00CA7572" w:rsidP="00E5688E">
            <w:pPr>
              <w:spacing w:before="60" w:after="60"/>
              <w:rPr>
                <w:rFonts w:cs="Arial"/>
                <w:highlight w:val="yellow"/>
              </w:rPr>
            </w:pPr>
          </w:p>
        </w:tc>
      </w:tr>
    </w:tbl>
    <w:p w14:paraId="718FEA68" w14:textId="77777777" w:rsidR="004326D9" w:rsidRPr="0021743D" w:rsidRDefault="004326D9" w:rsidP="00F9699E">
      <w:pPr>
        <w:rPr>
          <w:rFonts w:cs="Arial"/>
        </w:rPr>
      </w:pPr>
    </w:p>
    <w:p w14:paraId="39207E35" w14:textId="77777777" w:rsidR="004326D9" w:rsidRPr="0021743D" w:rsidRDefault="004326D9" w:rsidP="00F9699E">
      <w:pPr>
        <w:rPr>
          <w:rFonts w:cs="Arial"/>
        </w:rPr>
      </w:pPr>
    </w:p>
    <w:p w14:paraId="2E969CC8" w14:textId="77777777" w:rsidR="00F9699E" w:rsidRPr="0021743D" w:rsidRDefault="00F9699E" w:rsidP="00F9699E">
      <w:pPr>
        <w:rPr>
          <w:rFonts w:cs="Arial"/>
        </w:rPr>
      </w:pPr>
      <w:r w:rsidRPr="0021743D">
        <w:rPr>
          <w:rFonts w:cs="Arial"/>
          <w:b/>
          <w:i/>
        </w:rPr>
        <w:t>Zbývající část stránky byla úmyslně ponechána prázdná.</w:t>
      </w:r>
    </w:p>
    <w:p w14:paraId="63098337" w14:textId="77777777" w:rsidR="00132FFC" w:rsidRPr="0021743D" w:rsidRDefault="00132FFC">
      <w:pPr>
        <w:rPr>
          <w:rFonts w:cs="Arial"/>
          <w:b/>
        </w:rPr>
      </w:pPr>
    </w:p>
    <w:sectPr w:rsidR="00132FFC" w:rsidRPr="0021743D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9408B9" w14:textId="77777777" w:rsidR="00EF5B08" w:rsidRDefault="00EF5B08" w:rsidP="00B45E24">
      <w:r>
        <w:separator/>
      </w:r>
    </w:p>
  </w:endnote>
  <w:endnote w:type="continuationSeparator" w:id="0">
    <w:p w14:paraId="2AE5AB5A" w14:textId="77777777" w:rsidR="00EF5B08" w:rsidRDefault="00EF5B08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96A8AA" w14:textId="77777777" w:rsidR="00EF5B08" w:rsidRDefault="00EF5B08" w:rsidP="00B45E24">
      <w:r>
        <w:separator/>
      </w:r>
    </w:p>
  </w:footnote>
  <w:footnote w:type="continuationSeparator" w:id="0">
    <w:p w14:paraId="71E27A39" w14:textId="77777777" w:rsidR="00EF5B08" w:rsidRDefault="00EF5B08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7AB9C" w14:textId="7C3261A2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9776B3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9776B3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</w:p>
  <w:p w14:paraId="74BF7202" w14:textId="1723AB35" w:rsidR="00B45E24" w:rsidRDefault="00FA4FB3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</w:t>
    </w:r>
    <w:r w:rsidR="00B45E24">
      <w:rPr>
        <w:rStyle w:val="slostrnky"/>
        <w:sz w:val="16"/>
        <w:szCs w:val="16"/>
      </w:rPr>
      <w:t>v</w:t>
    </w:r>
    <w:r>
      <w:rPr>
        <w:rStyle w:val="slostrnky"/>
        <w:sz w:val="16"/>
        <w:szCs w:val="16"/>
      </w:rPr>
      <w:t xml:space="preserve">. </w:t>
    </w:r>
    <w:r w:rsidR="00B45E24">
      <w:rPr>
        <w:rStyle w:val="slostrnky"/>
        <w:sz w:val="16"/>
        <w:szCs w:val="16"/>
      </w:rPr>
      <w:t>č</w:t>
    </w:r>
    <w:r w:rsidR="00B45E24" w:rsidRPr="00FA4FB3">
      <w:rPr>
        <w:rStyle w:val="slostrnky"/>
        <w:sz w:val="16"/>
        <w:szCs w:val="16"/>
      </w:rPr>
      <w:t>.</w:t>
    </w:r>
    <w:r w:rsidRPr="00FA4FB3">
      <w:rPr>
        <w:rStyle w:val="slostrnky"/>
        <w:sz w:val="16"/>
        <w:szCs w:val="16"/>
      </w:rPr>
      <w:t>:</w:t>
    </w:r>
    <w:r w:rsidR="00CF0CD9">
      <w:rPr>
        <w:rStyle w:val="slostrnky"/>
        <w:sz w:val="16"/>
        <w:szCs w:val="16"/>
      </w:rPr>
      <w:t xml:space="preserve"> </w:t>
    </w:r>
    <w:r w:rsidR="00B45E24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="00B45E24" w:rsidRPr="00DE33D2">
      <w:rPr>
        <w:sz w:val="16"/>
        <w:szCs w:val="16"/>
      </w:rPr>
      <w:t xml:space="preserve">podpory, údržby a rozvoje </w:t>
    </w:r>
    <w:r w:rsidR="00B45E24">
      <w:rPr>
        <w:sz w:val="16"/>
        <w:szCs w:val="16"/>
      </w:rPr>
      <w:t>Aplikace</w:t>
    </w:r>
    <w:r w:rsidR="00E52EC6">
      <w:rPr>
        <w:sz w:val="16"/>
        <w:szCs w:val="16"/>
      </w:rPr>
      <w:t xml:space="preserve"> </w:t>
    </w:r>
    <w:r w:rsidR="0059230B">
      <w:rPr>
        <w:sz w:val="16"/>
        <w:szCs w:val="16"/>
      </w:rPr>
      <w:t>SAP</w:t>
    </w:r>
    <w:r w:rsidR="00B45E24" w:rsidRPr="00324977">
      <w:rPr>
        <w:sz w:val="16"/>
        <w:szCs w:val="16"/>
      </w:rPr>
      <w:tab/>
    </w:r>
  </w:p>
  <w:p w14:paraId="6F85BDF8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78D5CE0C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2B423C"/>
    <w:multiLevelType w:val="hybridMultilevel"/>
    <w:tmpl w:val="684CC736"/>
    <w:lvl w:ilvl="0" w:tplc="442EFBB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A5387"/>
    <w:multiLevelType w:val="hybridMultilevel"/>
    <w:tmpl w:val="980EE9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81A1A"/>
    <w:multiLevelType w:val="hybridMultilevel"/>
    <w:tmpl w:val="00E23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A07E20"/>
    <w:multiLevelType w:val="hybridMultilevel"/>
    <w:tmpl w:val="B91AC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A4394"/>
    <w:multiLevelType w:val="hybridMultilevel"/>
    <w:tmpl w:val="8B32A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235A19"/>
    <w:multiLevelType w:val="hybridMultilevel"/>
    <w:tmpl w:val="6D70FC1C"/>
    <w:lvl w:ilvl="0" w:tplc="040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7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8" w15:restartNumberingAfterBreak="0">
    <w:nsid w:val="559B7051"/>
    <w:multiLevelType w:val="hybridMultilevel"/>
    <w:tmpl w:val="61044034"/>
    <w:lvl w:ilvl="0" w:tplc="BB7C3D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327492"/>
    <w:multiLevelType w:val="hybridMultilevel"/>
    <w:tmpl w:val="C6FA0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1807B5"/>
    <w:multiLevelType w:val="hybridMultilevel"/>
    <w:tmpl w:val="C290BB10"/>
    <w:lvl w:ilvl="0" w:tplc="040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1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3E4150"/>
    <w:multiLevelType w:val="hybridMultilevel"/>
    <w:tmpl w:val="F47E14D2"/>
    <w:lvl w:ilvl="0" w:tplc="839C93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 w15:restartNumberingAfterBreak="0">
    <w:nsid w:val="66E247E2"/>
    <w:multiLevelType w:val="hybridMultilevel"/>
    <w:tmpl w:val="F9168A5C"/>
    <w:lvl w:ilvl="0" w:tplc="040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5" w15:restartNumberingAfterBreak="0">
    <w:nsid w:val="694A0B18"/>
    <w:multiLevelType w:val="hybridMultilevel"/>
    <w:tmpl w:val="7E9E195E"/>
    <w:lvl w:ilvl="0" w:tplc="040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6" w15:restartNumberingAfterBreak="0">
    <w:nsid w:val="6D814BDE"/>
    <w:multiLevelType w:val="hybridMultilevel"/>
    <w:tmpl w:val="A1EA10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E60DD2"/>
    <w:multiLevelType w:val="hybridMultilevel"/>
    <w:tmpl w:val="AD7AC182"/>
    <w:lvl w:ilvl="0" w:tplc="040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8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18"/>
  </w:num>
  <w:num w:numId="5">
    <w:abstractNumId w:val="2"/>
  </w:num>
  <w:num w:numId="6">
    <w:abstractNumId w:val="5"/>
  </w:num>
  <w:num w:numId="7">
    <w:abstractNumId w:val="4"/>
  </w:num>
  <w:num w:numId="8">
    <w:abstractNumId w:val="5"/>
  </w:num>
  <w:num w:numId="9">
    <w:abstractNumId w:val="12"/>
  </w:num>
  <w:num w:numId="10">
    <w:abstractNumId w:val="11"/>
  </w:num>
  <w:num w:numId="11">
    <w:abstractNumId w:val="0"/>
  </w:num>
  <w:num w:numId="12">
    <w:abstractNumId w:val="1"/>
  </w:num>
  <w:num w:numId="13">
    <w:abstractNumId w:val="6"/>
  </w:num>
  <w:num w:numId="14">
    <w:abstractNumId w:val="14"/>
  </w:num>
  <w:num w:numId="15">
    <w:abstractNumId w:val="17"/>
  </w:num>
  <w:num w:numId="16">
    <w:abstractNumId w:val="15"/>
  </w:num>
  <w:num w:numId="17">
    <w:abstractNumId w:val="10"/>
  </w:num>
  <w:num w:numId="18">
    <w:abstractNumId w:val="8"/>
  </w:num>
  <w:num w:numId="19">
    <w:abstractNumId w:val="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40268"/>
    <w:rsid w:val="00050082"/>
    <w:rsid w:val="00091FAE"/>
    <w:rsid w:val="000D17BA"/>
    <w:rsid w:val="00111B4B"/>
    <w:rsid w:val="00132FFC"/>
    <w:rsid w:val="00145ED6"/>
    <w:rsid w:val="001640F5"/>
    <w:rsid w:val="001819E2"/>
    <w:rsid w:val="00185FA2"/>
    <w:rsid w:val="001952B7"/>
    <w:rsid w:val="001B1AF0"/>
    <w:rsid w:val="001E64F4"/>
    <w:rsid w:val="00203645"/>
    <w:rsid w:val="002058AE"/>
    <w:rsid w:val="00210B74"/>
    <w:rsid w:val="0021743D"/>
    <w:rsid w:val="0022653F"/>
    <w:rsid w:val="00242B7F"/>
    <w:rsid w:val="00260011"/>
    <w:rsid w:val="00274955"/>
    <w:rsid w:val="00287989"/>
    <w:rsid w:val="002B4B60"/>
    <w:rsid w:val="00386B57"/>
    <w:rsid w:val="0039448C"/>
    <w:rsid w:val="003A2B88"/>
    <w:rsid w:val="00402345"/>
    <w:rsid w:val="004064C3"/>
    <w:rsid w:val="00420042"/>
    <w:rsid w:val="004326D9"/>
    <w:rsid w:val="00456ADE"/>
    <w:rsid w:val="004625EF"/>
    <w:rsid w:val="00465000"/>
    <w:rsid w:val="00473F96"/>
    <w:rsid w:val="005000CC"/>
    <w:rsid w:val="00563749"/>
    <w:rsid w:val="00565E0B"/>
    <w:rsid w:val="0059230B"/>
    <w:rsid w:val="005B5CB3"/>
    <w:rsid w:val="005C24BD"/>
    <w:rsid w:val="005E1577"/>
    <w:rsid w:val="006034A4"/>
    <w:rsid w:val="00613A4B"/>
    <w:rsid w:val="00613D38"/>
    <w:rsid w:val="006432CE"/>
    <w:rsid w:val="006B3A8A"/>
    <w:rsid w:val="00700E1D"/>
    <w:rsid w:val="0072147B"/>
    <w:rsid w:val="007235AE"/>
    <w:rsid w:val="0076707D"/>
    <w:rsid w:val="007A5E06"/>
    <w:rsid w:val="007C78A3"/>
    <w:rsid w:val="007D6171"/>
    <w:rsid w:val="007D6882"/>
    <w:rsid w:val="00864A7D"/>
    <w:rsid w:val="009062F3"/>
    <w:rsid w:val="009232A2"/>
    <w:rsid w:val="00944F8C"/>
    <w:rsid w:val="009776B3"/>
    <w:rsid w:val="009A383E"/>
    <w:rsid w:val="009B0C42"/>
    <w:rsid w:val="009B6CF3"/>
    <w:rsid w:val="009B7679"/>
    <w:rsid w:val="009E1E0C"/>
    <w:rsid w:val="009E5783"/>
    <w:rsid w:val="009F2455"/>
    <w:rsid w:val="00A037FA"/>
    <w:rsid w:val="00A14277"/>
    <w:rsid w:val="00A24D98"/>
    <w:rsid w:val="00A258FA"/>
    <w:rsid w:val="00A36BBF"/>
    <w:rsid w:val="00A37A4E"/>
    <w:rsid w:val="00A57B95"/>
    <w:rsid w:val="00A64165"/>
    <w:rsid w:val="00A8349C"/>
    <w:rsid w:val="00AC548B"/>
    <w:rsid w:val="00B01C1C"/>
    <w:rsid w:val="00B059EB"/>
    <w:rsid w:val="00B45E24"/>
    <w:rsid w:val="00B74060"/>
    <w:rsid w:val="00BA0CC2"/>
    <w:rsid w:val="00BE7A36"/>
    <w:rsid w:val="00C0122E"/>
    <w:rsid w:val="00C2185D"/>
    <w:rsid w:val="00C220AD"/>
    <w:rsid w:val="00C73314"/>
    <w:rsid w:val="00C95EB1"/>
    <w:rsid w:val="00C96A32"/>
    <w:rsid w:val="00CA1D85"/>
    <w:rsid w:val="00CA4D18"/>
    <w:rsid w:val="00CA6C3D"/>
    <w:rsid w:val="00CA7572"/>
    <w:rsid w:val="00CC5921"/>
    <w:rsid w:val="00CF0CD9"/>
    <w:rsid w:val="00D06221"/>
    <w:rsid w:val="00D67DC5"/>
    <w:rsid w:val="00DB4C8B"/>
    <w:rsid w:val="00DD3B69"/>
    <w:rsid w:val="00DD5F03"/>
    <w:rsid w:val="00E13919"/>
    <w:rsid w:val="00E3768C"/>
    <w:rsid w:val="00E52EC6"/>
    <w:rsid w:val="00E5688E"/>
    <w:rsid w:val="00E72596"/>
    <w:rsid w:val="00E76203"/>
    <w:rsid w:val="00E95F54"/>
    <w:rsid w:val="00EF43C3"/>
    <w:rsid w:val="00EF52E5"/>
    <w:rsid w:val="00EF5B08"/>
    <w:rsid w:val="00F15089"/>
    <w:rsid w:val="00F44C8D"/>
    <w:rsid w:val="00F461F3"/>
    <w:rsid w:val="00F70FE5"/>
    <w:rsid w:val="00F75C5F"/>
    <w:rsid w:val="00F77D0B"/>
    <w:rsid w:val="00F82ECE"/>
    <w:rsid w:val="00F9699E"/>
    <w:rsid w:val="00FA4FB3"/>
    <w:rsid w:val="00FA578C"/>
    <w:rsid w:val="00FE076E"/>
    <w:rsid w:val="0426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1B3E8F"/>
  <w15:docId w15:val="{869261ED-99CB-4889-A79D-741A3099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4326D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87BA698FD44BAB5B82449941945A" ma:contentTypeVersion="4" ma:contentTypeDescription="Vytvoří nový dokument" ma:contentTypeScope="" ma:versionID="f4ed50cf11c11ee03c30616f878cdd5a">
  <xsd:schema xmlns:xsd="http://www.w3.org/2001/XMLSchema" xmlns:xs="http://www.w3.org/2001/XMLSchema" xmlns:p="http://schemas.microsoft.com/office/2006/metadata/properties" xmlns:ns2="8bc5dab4-8276-4926-ac1b-b37cacb5a9c8" targetNamespace="http://schemas.microsoft.com/office/2006/metadata/properties" ma:root="true" ma:fieldsID="01d192b1fa497ad43a05a28abe109685" ns2:_="">
    <xsd:import namespace="8bc5dab4-8276-4926-ac1b-b37cacb5a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5dab4-8276-4926-ac1b-b37cacb5a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7B16ED-388F-4C24-93EA-97F741BEA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5dab4-8276-4926-ac1b-b37cacb5a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ADBAE3-1607-4F8D-8CE6-569981E9C0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2CE0B7-34D2-4D7F-A4F2-2B9EF49C85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DB9448-4BAD-4FE2-B501-918FD15D2A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Bodlák František</dc:creator>
  <cp:lastModifiedBy>Frk Břetislav</cp:lastModifiedBy>
  <cp:revision>9</cp:revision>
  <cp:lastPrinted>2022-01-20T08:58:00Z</cp:lastPrinted>
  <dcterms:created xsi:type="dcterms:W3CDTF">2022-02-03T08:23:00Z</dcterms:created>
  <dcterms:modified xsi:type="dcterms:W3CDTF">2022-05-15T20:05:00Z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0x010100AB8787BA698FD44BAB5B82449941945A</vt:lpwstr>
  </property>
</Properties>
</file>