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B4D142" w14:textId="77777777" w:rsidR="00F36A30" w:rsidRPr="00F36A30" w:rsidRDefault="00F36A30" w:rsidP="00F36A30">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20"/>
        </w:rPr>
      </w:pPr>
      <w:r w:rsidRPr="00F36A30">
        <w:rPr>
          <w:rFonts w:cs="Arial"/>
          <w:sz w:val="20"/>
        </w:rPr>
        <w:t xml:space="preserve">Příloha č. 1 zadávací dokumentace zakázky č. </w:t>
      </w:r>
      <w:r w:rsidR="00D322EC">
        <w:rPr>
          <w:rFonts w:cs="Arial"/>
          <w:sz w:val="20"/>
        </w:rPr>
        <w:t>202</w:t>
      </w:r>
      <w:r w:rsidRPr="00F36A30">
        <w:rPr>
          <w:rFonts w:cs="Arial"/>
          <w:sz w:val="20"/>
        </w:rPr>
        <w:t>/</w:t>
      </w:r>
      <w:r w:rsidR="00D322EC">
        <w:rPr>
          <w:rFonts w:cs="Arial"/>
          <w:sz w:val="20"/>
        </w:rPr>
        <w:t>20</w:t>
      </w:r>
      <w:r w:rsidRPr="00F36A30">
        <w:rPr>
          <w:rFonts w:cs="Arial"/>
          <w:sz w:val="20"/>
        </w:rPr>
        <w:t>/OCN vypracované s využitím postupů dle zákona č. 137/2006 Sb., o veřejných zakázkách, v platném znění, s názvem</w:t>
      </w:r>
    </w:p>
    <w:p w14:paraId="63CCCE41" w14:textId="77777777" w:rsidR="00F36A30" w:rsidRPr="00F36A30" w:rsidRDefault="00F36A30" w:rsidP="00F36A30">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20"/>
        </w:rPr>
      </w:pPr>
    </w:p>
    <w:p w14:paraId="4311886D" w14:textId="77777777" w:rsidR="00F36A30" w:rsidRPr="00F36A30" w:rsidRDefault="00F36A30" w:rsidP="00F36A30">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center"/>
        <w:rPr>
          <w:rFonts w:cs="Arial"/>
          <w:sz w:val="20"/>
        </w:rPr>
      </w:pPr>
      <w:r w:rsidRPr="00F36A30">
        <w:rPr>
          <w:rFonts w:cs="Arial"/>
          <w:b/>
          <w:sz w:val="20"/>
        </w:rPr>
        <w:t>„</w:t>
      </w:r>
      <w:bookmarkStart w:id="0" w:name="OLE_LINK2"/>
      <w:r w:rsidRPr="00F36A30">
        <w:rPr>
          <w:rFonts w:cs="Arial"/>
          <w:b/>
          <w:sz w:val="20"/>
        </w:rPr>
        <w:t>Pojištění</w:t>
      </w:r>
      <w:r>
        <w:rPr>
          <w:rFonts w:cs="Arial"/>
          <w:b/>
          <w:sz w:val="20"/>
        </w:rPr>
        <w:t xml:space="preserve"> vozidel</w:t>
      </w:r>
      <w:r w:rsidRPr="00F36A30">
        <w:rPr>
          <w:rFonts w:cs="Arial"/>
          <w:b/>
          <w:sz w:val="20"/>
        </w:rPr>
        <w:t xml:space="preserve"> společnosti ČEPRO, a.s.</w:t>
      </w:r>
      <w:bookmarkEnd w:id="0"/>
      <w:r w:rsidRPr="00F36A30">
        <w:rPr>
          <w:rFonts w:cs="Arial"/>
          <w:b/>
          <w:sz w:val="20"/>
        </w:rPr>
        <w:t>“</w:t>
      </w:r>
    </w:p>
    <w:p w14:paraId="12AB9E42" w14:textId="77777777" w:rsidR="00F36A30" w:rsidRPr="00F36A30" w:rsidRDefault="00F36A30" w:rsidP="00F36A30">
      <w:pPr>
        <w:widowControl/>
        <w:adjustRightInd/>
        <w:spacing w:line="240" w:lineRule="auto"/>
        <w:ind w:left="540"/>
        <w:textAlignment w:val="auto"/>
        <w:rPr>
          <w:rFonts w:ascii="Arial" w:hAnsi="Arial" w:cs="Arial"/>
          <w:b/>
          <w:sz w:val="20"/>
          <w:szCs w:val="20"/>
        </w:rPr>
      </w:pPr>
    </w:p>
    <w:p w14:paraId="5CE30997" w14:textId="77777777" w:rsidR="00F36A30" w:rsidRPr="00F36A30" w:rsidRDefault="00F36A30" w:rsidP="00F36A30">
      <w:pPr>
        <w:widowControl/>
        <w:adjustRightInd/>
        <w:spacing w:line="240" w:lineRule="auto"/>
        <w:ind w:left="540"/>
        <w:textAlignment w:val="auto"/>
        <w:rPr>
          <w:rFonts w:ascii="Arial" w:hAnsi="Arial" w:cs="Arial"/>
          <w:b/>
          <w:sz w:val="20"/>
          <w:szCs w:val="20"/>
        </w:rPr>
      </w:pPr>
    </w:p>
    <w:p w14:paraId="0CF3C7DD" w14:textId="77777777" w:rsidR="004A6F84" w:rsidRPr="002E6255" w:rsidRDefault="004A6F84" w:rsidP="002E6255">
      <w:pPr>
        <w:spacing w:line="240" w:lineRule="auto"/>
        <w:rPr>
          <w:rFonts w:ascii="Arial" w:hAnsi="Arial" w:cs="Arial"/>
        </w:rPr>
      </w:pPr>
      <w:r w:rsidRPr="006B6EE6">
        <w:rPr>
          <w:rFonts w:ascii="Arial" w:hAnsi="Arial" w:cs="Arial"/>
          <w:sz w:val="20"/>
          <w:szCs w:val="20"/>
        </w:rPr>
        <w:t>Zadavatel požaduje zajištění pojistné ochrany vozového parku zadavatele a zajištění</w:t>
      </w:r>
      <w:r w:rsidRPr="002E6255">
        <w:rPr>
          <w:rFonts w:ascii="Arial" w:hAnsi="Arial" w:cs="Arial"/>
        </w:rPr>
        <w:t xml:space="preserve"> </w:t>
      </w:r>
      <w:r w:rsidRPr="006B6EE6">
        <w:rPr>
          <w:rFonts w:ascii="Arial" w:hAnsi="Arial" w:cs="Arial"/>
          <w:sz w:val="20"/>
          <w:szCs w:val="20"/>
        </w:rPr>
        <w:t xml:space="preserve">ochrany před riziky vyplývajícími z činnosti zadavatele </w:t>
      </w:r>
      <w:r w:rsidR="00F36A30" w:rsidRPr="006B6EE6">
        <w:rPr>
          <w:rFonts w:ascii="Arial" w:hAnsi="Arial" w:cs="Arial"/>
          <w:sz w:val="20"/>
          <w:szCs w:val="20"/>
        </w:rPr>
        <w:t>dle požadavků a za podmínek uvedených níže v této příloze zadávací dokumentace.</w:t>
      </w:r>
    </w:p>
    <w:p w14:paraId="7F47333C" w14:textId="77777777" w:rsidR="004A6F84" w:rsidRPr="002E6255" w:rsidRDefault="004A6F84" w:rsidP="002E6255">
      <w:pPr>
        <w:spacing w:line="240" w:lineRule="auto"/>
        <w:rPr>
          <w:rFonts w:ascii="Arial" w:hAnsi="Arial" w:cs="Arial"/>
        </w:rPr>
      </w:pPr>
    </w:p>
    <w:p w14:paraId="69858FB6" w14:textId="77777777" w:rsidR="00F36A30" w:rsidRPr="002E6255" w:rsidRDefault="00F36A30" w:rsidP="002E6255">
      <w:pPr>
        <w:spacing w:line="240" w:lineRule="auto"/>
        <w:rPr>
          <w:rFonts w:ascii="Arial" w:hAnsi="Arial" w:cs="Arial"/>
        </w:rPr>
      </w:pPr>
      <w:r w:rsidRPr="006B6EE6">
        <w:rPr>
          <w:rFonts w:ascii="Arial" w:hAnsi="Arial" w:cs="Arial"/>
          <w:sz w:val="20"/>
          <w:szCs w:val="20"/>
        </w:rPr>
        <w:t xml:space="preserve">Zadavatel zpracoval níže uvedené zadání co nejlépe s ohledem na své znalosti. V případě, že některý z požadavků zadavatele není dodavateli zcela zřejmý nebo je dle jeho názoru nedostatečně specifikován, žádá zadavatel dodavatele, aby dle článku </w:t>
      </w:r>
      <w:r w:rsidR="008F5D39" w:rsidRPr="006B6EE6">
        <w:rPr>
          <w:rFonts w:ascii="Arial" w:hAnsi="Arial" w:cs="Arial"/>
          <w:sz w:val="20"/>
          <w:szCs w:val="20"/>
        </w:rPr>
        <w:t>7.8</w:t>
      </w:r>
      <w:r w:rsidR="000B6C03">
        <w:rPr>
          <w:rFonts w:ascii="Arial" w:hAnsi="Arial" w:cs="Arial"/>
          <w:sz w:val="20"/>
          <w:szCs w:val="20"/>
        </w:rPr>
        <w:t xml:space="preserve"> </w:t>
      </w:r>
      <w:r w:rsidRPr="006B6EE6">
        <w:rPr>
          <w:rFonts w:ascii="Arial" w:hAnsi="Arial" w:cs="Arial"/>
          <w:sz w:val="20"/>
          <w:szCs w:val="20"/>
        </w:rPr>
        <w:t>zadávací dokumentace požádal zadavatele o dodatečné informace tak, aby bylo možné daný požadavek lépe specifikovat.</w:t>
      </w:r>
    </w:p>
    <w:p w14:paraId="43E73054" w14:textId="77777777" w:rsidR="005E73A4" w:rsidRPr="005C08DC" w:rsidRDefault="005E73A4" w:rsidP="00732439">
      <w:pPr>
        <w:widowControl/>
        <w:adjustRightInd/>
        <w:spacing w:line="240" w:lineRule="auto"/>
        <w:textAlignment w:val="auto"/>
        <w:rPr>
          <w:rFonts w:ascii="Arial" w:hAnsi="Arial" w:cs="Arial"/>
          <w:b/>
          <w:sz w:val="20"/>
          <w:szCs w:val="20"/>
        </w:rPr>
      </w:pPr>
    </w:p>
    <w:p w14:paraId="1735DFFC" w14:textId="77777777" w:rsidR="005E73A4" w:rsidRPr="002E6255" w:rsidRDefault="005E73A4" w:rsidP="002E6255">
      <w:pPr>
        <w:pStyle w:val="Adresa"/>
        <w:numPr>
          <w:ilvl w:val="0"/>
          <w:numId w:val="12"/>
        </w:numPr>
        <w:tabs>
          <w:tab w:val="clear" w:pos="851"/>
          <w:tab w:val="clear" w:pos="1701"/>
          <w:tab w:val="clear" w:pos="2552"/>
          <w:tab w:val="clear" w:pos="3402"/>
          <w:tab w:val="clear" w:pos="4253"/>
          <w:tab w:val="clear" w:pos="5103"/>
          <w:tab w:val="clear" w:pos="5954"/>
          <w:tab w:val="clear" w:pos="6804"/>
          <w:tab w:val="clear" w:pos="7655"/>
          <w:tab w:val="clear" w:pos="8505"/>
        </w:tabs>
        <w:spacing w:before="240" w:after="120"/>
        <w:ind w:left="284" w:hanging="284"/>
        <w:jc w:val="both"/>
        <w:rPr>
          <w:rFonts w:cs="Arial"/>
          <w:b/>
          <w:sz w:val="20"/>
        </w:rPr>
      </w:pPr>
      <w:r w:rsidRPr="002E6255">
        <w:rPr>
          <w:rFonts w:cs="Arial"/>
          <w:b/>
          <w:sz w:val="20"/>
        </w:rPr>
        <w:t>Pojištění odpovědnosti za újmu způsobenou provozem vozidla – povinné ručení – POV</w:t>
      </w:r>
    </w:p>
    <w:p w14:paraId="08DE7561" w14:textId="77777777" w:rsidR="005E73A4" w:rsidRPr="002E6255" w:rsidRDefault="005E73A4" w:rsidP="002E6255">
      <w:pPr>
        <w:autoSpaceDE w:val="0"/>
        <w:autoSpaceDN w:val="0"/>
        <w:spacing w:line="240" w:lineRule="auto"/>
        <w:rPr>
          <w:rFonts w:ascii="Arial" w:hAnsi="Arial" w:cs="Arial"/>
          <w:iCs/>
          <w:sz w:val="20"/>
          <w:szCs w:val="20"/>
        </w:rPr>
      </w:pPr>
      <w:r w:rsidRPr="002E6255">
        <w:rPr>
          <w:rFonts w:ascii="Arial" w:hAnsi="Arial" w:cs="Arial"/>
          <w:b/>
          <w:sz w:val="20"/>
          <w:szCs w:val="20"/>
        </w:rPr>
        <w:t>Územní rozsah pojištění:</w:t>
      </w:r>
      <w:r w:rsidRPr="002E6255">
        <w:rPr>
          <w:rFonts w:ascii="Arial" w:hAnsi="Arial" w:cs="Arial"/>
          <w:sz w:val="20"/>
          <w:szCs w:val="20"/>
        </w:rPr>
        <w:t xml:space="preserve"> dle §4 </w:t>
      </w:r>
      <w:r w:rsidRPr="002E6255">
        <w:rPr>
          <w:rFonts w:ascii="Arial" w:hAnsi="Arial" w:cs="Arial"/>
          <w:iCs/>
          <w:sz w:val="20"/>
          <w:szCs w:val="20"/>
        </w:rPr>
        <w:t>Vyhlášky Ministerstva financí č.</w:t>
      </w:r>
      <w:r w:rsidRPr="002E6255">
        <w:rPr>
          <w:rFonts w:ascii="Arial" w:hAnsi="Arial" w:cs="Arial"/>
          <w:sz w:val="20"/>
          <w:szCs w:val="20"/>
        </w:rPr>
        <w:t>205/1999 Sb.</w:t>
      </w:r>
      <w:r w:rsidRPr="002E6255">
        <w:rPr>
          <w:rFonts w:ascii="Arial" w:hAnsi="Arial" w:cs="Arial"/>
          <w:iCs/>
          <w:sz w:val="20"/>
          <w:szCs w:val="20"/>
        </w:rPr>
        <w:t xml:space="preserve">, kterou se provádí zákon č. 168/1999Sb., o pojištění odpovědnosti za škodu způsobenou provozem vozidla </w:t>
      </w:r>
    </w:p>
    <w:p w14:paraId="5949D1DE" w14:textId="77777777" w:rsidR="005E73A4" w:rsidRPr="002E6255" w:rsidRDefault="005E73A4" w:rsidP="005E73A4">
      <w:pPr>
        <w:spacing w:line="240" w:lineRule="auto"/>
        <w:rPr>
          <w:rFonts w:ascii="Arial" w:hAnsi="Arial" w:cs="Arial"/>
          <w:sz w:val="20"/>
          <w:szCs w:val="20"/>
        </w:rPr>
      </w:pPr>
    </w:p>
    <w:p w14:paraId="0005245E" w14:textId="77777777" w:rsidR="005E73A4" w:rsidRPr="002E6255" w:rsidRDefault="005E73A4" w:rsidP="005E73A4">
      <w:pPr>
        <w:spacing w:line="240" w:lineRule="auto"/>
        <w:rPr>
          <w:rFonts w:ascii="Arial" w:hAnsi="Arial" w:cs="Arial"/>
          <w:sz w:val="20"/>
          <w:szCs w:val="20"/>
        </w:rPr>
      </w:pPr>
      <w:r w:rsidRPr="002E6255">
        <w:rPr>
          <w:rFonts w:ascii="Arial" w:hAnsi="Arial" w:cs="Arial"/>
          <w:sz w:val="20"/>
          <w:szCs w:val="20"/>
        </w:rPr>
        <w:t>Minimální limit plnění na 1 vozidlo</w:t>
      </w:r>
    </w:p>
    <w:p w14:paraId="6050E125" w14:textId="77777777" w:rsidR="005E73A4" w:rsidRPr="002E6255" w:rsidRDefault="005E73A4" w:rsidP="005E73A4">
      <w:pPr>
        <w:tabs>
          <w:tab w:val="right" w:pos="6300"/>
        </w:tabs>
        <w:spacing w:line="240" w:lineRule="auto"/>
        <w:rPr>
          <w:rFonts w:ascii="Arial" w:hAnsi="Arial" w:cs="Arial"/>
          <w:sz w:val="20"/>
          <w:szCs w:val="20"/>
        </w:rPr>
      </w:pPr>
      <w:r w:rsidRPr="002E6255">
        <w:rPr>
          <w:rFonts w:ascii="Arial" w:hAnsi="Arial" w:cs="Arial"/>
          <w:sz w:val="20"/>
          <w:szCs w:val="20"/>
        </w:rPr>
        <w:t>újmy na zdraví třetích osob:</w:t>
      </w:r>
      <w:r w:rsidRPr="002E6255">
        <w:rPr>
          <w:rFonts w:ascii="Arial" w:hAnsi="Arial" w:cs="Arial"/>
          <w:sz w:val="20"/>
          <w:szCs w:val="20"/>
        </w:rPr>
        <w:tab/>
        <w:t>100.000.000 Kč</w:t>
      </w:r>
    </w:p>
    <w:p w14:paraId="19DA2EB9" w14:textId="77777777" w:rsidR="005E73A4" w:rsidRPr="002E6255" w:rsidRDefault="005E73A4" w:rsidP="005E73A4">
      <w:pPr>
        <w:tabs>
          <w:tab w:val="right" w:pos="6300"/>
        </w:tabs>
        <w:spacing w:line="240" w:lineRule="auto"/>
        <w:rPr>
          <w:rFonts w:ascii="Arial" w:hAnsi="Arial" w:cs="Arial"/>
          <w:sz w:val="20"/>
          <w:szCs w:val="20"/>
        </w:rPr>
      </w:pPr>
      <w:r w:rsidRPr="002E6255">
        <w:rPr>
          <w:rFonts w:ascii="Arial" w:hAnsi="Arial" w:cs="Arial"/>
          <w:sz w:val="20"/>
          <w:szCs w:val="20"/>
        </w:rPr>
        <w:t>újmy na věci třetích osob:</w:t>
      </w:r>
      <w:r w:rsidRPr="002E6255">
        <w:rPr>
          <w:rFonts w:ascii="Arial" w:hAnsi="Arial" w:cs="Arial"/>
          <w:sz w:val="20"/>
          <w:szCs w:val="20"/>
        </w:rPr>
        <w:tab/>
        <w:t>100.000.000 Kč</w:t>
      </w:r>
    </w:p>
    <w:p w14:paraId="623F2E38" w14:textId="77777777" w:rsidR="005E73A4" w:rsidRPr="002E6255" w:rsidRDefault="005E73A4" w:rsidP="005E73A4">
      <w:pPr>
        <w:spacing w:before="120" w:line="240" w:lineRule="auto"/>
        <w:rPr>
          <w:rFonts w:ascii="Arial" w:hAnsi="Arial" w:cs="Arial"/>
          <w:sz w:val="20"/>
          <w:szCs w:val="20"/>
        </w:rPr>
      </w:pPr>
      <w:r w:rsidRPr="002E6255">
        <w:rPr>
          <w:rFonts w:ascii="Arial" w:hAnsi="Arial" w:cs="Arial"/>
          <w:sz w:val="20"/>
          <w:szCs w:val="20"/>
        </w:rPr>
        <w:t>Doplňkové připojištění nákladů právní ochrany s limitem pojistného plnění 10.000 Kč.</w:t>
      </w:r>
    </w:p>
    <w:p w14:paraId="2CDD1155" w14:textId="44BA3319" w:rsidR="005E73A4" w:rsidRPr="002E6255" w:rsidRDefault="005E73A4" w:rsidP="005E73A4">
      <w:pPr>
        <w:pStyle w:val="Odstavecseseznamem"/>
        <w:spacing w:before="120"/>
        <w:ind w:left="0"/>
        <w:jc w:val="both"/>
        <w:rPr>
          <w:rFonts w:ascii="Arial" w:eastAsia="Times New Roman" w:hAnsi="Arial" w:cs="Arial"/>
          <w:sz w:val="20"/>
          <w:szCs w:val="20"/>
          <w:lang w:eastAsia="cs-CZ"/>
        </w:rPr>
      </w:pPr>
      <w:r w:rsidRPr="002E6255">
        <w:rPr>
          <w:rFonts w:ascii="Arial" w:eastAsia="Times New Roman" w:hAnsi="Arial" w:cs="Arial"/>
          <w:b/>
          <w:sz w:val="20"/>
          <w:szCs w:val="20"/>
          <w:lang w:eastAsia="cs-CZ"/>
        </w:rPr>
        <w:t xml:space="preserve">Počet pojištěných </w:t>
      </w:r>
      <w:r w:rsidRPr="00E96F8E">
        <w:rPr>
          <w:rFonts w:ascii="Arial" w:eastAsia="Times New Roman" w:hAnsi="Arial" w:cs="Arial"/>
          <w:b/>
          <w:sz w:val="20"/>
          <w:szCs w:val="20"/>
          <w:lang w:eastAsia="cs-CZ"/>
        </w:rPr>
        <w:t>vozidel</w:t>
      </w:r>
      <w:r w:rsidR="005C08DC" w:rsidRPr="00E96F8E">
        <w:rPr>
          <w:rFonts w:ascii="Arial" w:eastAsia="Times New Roman" w:hAnsi="Arial" w:cs="Arial"/>
          <w:sz w:val="20"/>
          <w:szCs w:val="20"/>
          <w:lang w:eastAsia="cs-CZ"/>
        </w:rPr>
        <w:t xml:space="preserve">: </w:t>
      </w:r>
      <w:r w:rsidRPr="00E96F8E">
        <w:rPr>
          <w:rFonts w:ascii="Arial" w:eastAsia="Times New Roman" w:hAnsi="Arial" w:cs="Arial"/>
          <w:sz w:val="20"/>
          <w:szCs w:val="20"/>
          <w:lang w:eastAsia="cs-CZ"/>
        </w:rPr>
        <w:t>v </w:t>
      </w:r>
      <w:r w:rsidR="00BF7A22" w:rsidRPr="00E96F8E">
        <w:rPr>
          <w:rFonts w:ascii="Arial" w:eastAsia="Times New Roman" w:hAnsi="Arial" w:cs="Arial"/>
          <w:sz w:val="20"/>
          <w:szCs w:val="20"/>
          <w:lang w:eastAsia="cs-CZ"/>
        </w:rPr>
        <w:t xml:space="preserve">současnosti </w:t>
      </w:r>
      <w:r w:rsidR="00E37560">
        <w:rPr>
          <w:rFonts w:ascii="Arial" w:eastAsia="Times New Roman" w:hAnsi="Arial" w:cs="Arial"/>
          <w:sz w:val="20"/>
          <w:szCs w:val="20"/>
          <w:lang w:eastAsia="cs-CZ"/>
        </w:rPr>
        <w:t>119</w:t>
      </w:r>
      <w:r w:rsidR="00BF7A22" w:rsidRPr="00E96F8E">
        <w:rPr>
          <w:rFonts w:ascii="Arial" w:eastAsia="Times New Roman" w:hAnsi="Arial" w:cs="Arial"/>
          <w:sz w:val="20"/>
          <w:szCs w:val="20"/>
          <w:lang w:eastAsia="cs-CZ"/>
        </w:rPr>
        <w:t xml:space="preserve"> vozidel (z toho </w:t>
      </w:r>
      <w:r w:rsidRPr="00E96F8E">
        <w:rPr>
          <w:rFonts w:ascii="Arial" w:eastAsia="Times New Roman" w:hAnsi="Arial" w:cs="Arial"/>
          <w:sz w:val="20"/>
          <w:szCs w:val="20"/>
          <w:lang w:eastAsia="cs-CZ"/>
        </w:rPr>
        <w:t>29 vozidel ADR</w:t>
      </w:r>
      <w:r w:rsidR="000B6C03" w:rsidRPr="00E96F8E">
        <w:rPr>
          <w:rFonts w:ascii="Arial" w:eastAsia="Times New Roman" w:hAnsi="Arial" w:cs="Arial"/>
          <w:sz w:val="20"/>
          <w:szCs w:val="20"/>
          <w:lang w:eastAsia="cs-CZ"/>
        </w:rPr>
        <w:t xml:space="preserve">). Podrobná specifikace </w:t>
      </w:r>
      <w:r w:rsidRPr="00E96F8E">
        <w:rPr>
          <w:rFonts w:ascii="Arial" w:eastAsia="Times New Roman" w:hAnsi="Arial" w:cs="Arial"/>
          <w:sz w:val="20"/>
          <w:szCs w:val="20"/>
          <w:lang w:eastAsia="cs-CZ"/>
        </w:rPr>
        <w:t xml:space="preserve">vozidel a jejich počet je uveden v příloze č. </w:t>
      </w:r>
      <w:r w:rsidR="00E96F8E" w:rsidRPr="00E96F8E">
        <w:rPr>
          <w:rFonts w:ascii="Arial" w:eastAsia="Times New Roman" w:hAnsi="Arial" w:cs="Arial"/>
          <w:sz w:val="20"/>
          <w:szCs w:val="20"/>
          <w:lang w:eastAsia="cs-CZ"/>
        </w:rPr>
        <w:t>5</w:t>
      </w:r>
      <w:r w:rsidRPr="00E96F8E">
        <w:rPr>
          <w:rFonts w:ascii="Arial" w:eastAsia="Times New Roman" w:hAnsi="Arial" w:cs="Arial"/>
          <w:sz w:val="20"/>
          <w:szCs w:val="20"/>
          <w:lang w:eastAsia="cs-CZ"/>
        </w:rPr>
        <w:t xml:space="preserve"> této zadávací dokumentace veřejné zakázky – seznam vozidel.</w:t>
      </w:r>
    </w:p>
    <w:p w14:paraId="37EEAE70" w14:textId="77777777" w:rsidR="005E73A4" w:rsidRPr="002E6255" w:rsidRDefault="005E73A4" w:rsidP="002E6255">
      <w:pPr>
        <w:pStyle w:val="Adresa"/>
        <w:numPr>
          <w:ilvl w:val="0"/>
          <w:numId w:val="12"/>
        </w:numPr>
        <w:tabs>
          <w:tab w:val="clear" w:pos="851"/>
          <w:tab w:val="clear" w:pos="1701"/>
          <w:tab w:val="clear" w:pos="2552"/>
          <w:tab w:val="clear" w:pos="3402"/>
          <w:tab w:val="clear" w:pos="4253"/>
          <w:tab w:val="clear" w:pos="5103"/>
          <w:tab w:val="clear" w:pos="5954"/>
          <w:tab w:val="clear" w:pos="6804"/>
          <w:tab w:val="clear" w:pos="7655"/>
          <w:tab w:val="clear" w:pos="8505"/>
        </w:tabs>
        <w:spacing w:before="240" w:after="120"/>
        <w:ind w:left="284" w:hanging="284"/>
        <w:jc w:val="both"/>
        <w:rPr>
          <w:rFonts w:cs="Arial"/>
          <w:b/>
          <w:sz w:val="20"/>
        </w:rPr>
      </w:pPr>
      <w:r w:rsidRPr="002E6255">
        <w:rPr>
          <w:rFonts w:cs="Arial"/>
          <w:b/>
          <w:sz w:val="20"/>
        </w:rPr>
        <w:t>Havarijní pojištění – HAV</w:t>
      </w:r>
    </w:p>
    <w:p w14:paraId="5AA6E03E" w14:textId="77777777" w:rsidR="005E73A4" w:rsidRPr="002E6255" w:rsidRDefault="005E73A4" w:rsidP="002E6255">
      <w:pPr>
        <w:numPr>
          <w:ilvl w:val="12"/>
          <w:numId w:val="0"/>
        </w:numPr>
        <w:tabs>
          <w:tab w:val="left" w:pos="5040"/>
        </w:tabs>
        <w:spacing w:before="120" w:line="240" w:lineRule="auto"/>
        <w:rPr>
          <w:rFonts w:ascii="Arial" w:hAnsi="Arial" w:cs="Arial"/>
          <w:sz w:val="20"/>
          <w:szCs w:val="20"/>
        </w:rPr>
      </w:pPr>
      <w:r w:rsidRPr="002E6255">
        <w:rPr>
          <w:rFonts w:ascii="Arial" w:hAnsi="Arial" w:cs="Arial"/>
          <w:b/>
          <w:sz w:val="20"/>
          <w:szCs w:val="20"/>
        </w:rPr>
        <w:t>Územní rozsah pojištění:</w:t>
      </w:r>
      <w:r w:rsidRPr="002E6255">
        <w:rPr>
          <w:rFonts w:ascii="Arial" w:hAnsi="Arial" w:cs="Arial"/>
          <w:sz w:val="20"/>
          <w:szCs w:val="20"/>
        </w:rPr>
        <w:t xml:space="preserve"> Česká republika a Evropa s výjimkou bývalých států SSSR, které nejsou členy </w:t>
      </w:r>
      <w:r w:rsidR="00E3152A" w:rsidRPr="002E6255">
        <w:rPr>
          <w:rFonts w:ascii="Arial" w:hAnsi="Arial" w:cs="Arial"/>
          <w:sz w:val="20"/>
          <w:szCs w:val="20"/>
        </w:rPr>
        <w:t>Evropské unie</w:t>
      </w:r>
    </w:p>
    <w:p w14:paraId="4EF59765" w14:textId="77777777" w:rsidR="005E73A4" w:rsidRPr="002E6255" w:rsidRDefault="005E73A4" w:rsidP="005E73A4">
      <w:pPr>
        <w:numPr>
          <w:ilvl w:val="12"/>
          <w:numId w:val="0"/>
        </w:numPr>
        <w:tabs>
          <w:tab w:val="left" w:pos="5040"/>
        </w:tabs>
        <w:spacing w:before="120" w:line="240" w:lineRule="auto"/>
        <w:rPr>
          <w:rFonts w:ascii="Arial" w:hAnsi="Arial" w:cs="Arial"/>
          <w:b/>
          <w:sz w:val="20"/>
          <w:szCs w:val="20"/>
        </w:rPr>
      </w:pPr>
      <w:r w:rsidRPr="002E6255">
        <w:rPr>
          <w:rFonts w:ascii="Arial" w:hAnsi="Arial" w:cs="Arial"/>
          <w:b/>
          <w:sz w:val="20"/>
          <w:szCs w:val="20"/>
        </w:rPr>
        <w:t xml:space="preserve">Rozsah pojistného krytí: </w:t>
      </w:r>
      <w:proofErr w:type="spellStart"/>
      <w:r w:rsidRPr="002E6255">
        <w:rPr>
          <w:rFonts w:ascii="Arial" w:hAnsi="Arial" w:cs="Arial"/>
          <w:sz w:val="20"/>
          <w:szCs w:val="20"/>
        </w:rPr>
        <w:t>Allrisk</w:t>
      </w:r>
      <w:proofErr w:type="spellEnd"/>
      <w:r w:rsidRPr="002E6255">
        <w:rPr>
          <w:rFonts w:ascii="Arial" w:hAnsi="Arial" w:cs="Arial"/>
          <w:sz w:val="20"/>
          <w:szCs w:val="20"/>
        </w:rPr>
        <w:t xml:space="preserve"> (havárie, odcizení, živelní událost, vandalismus), včetně poškození vozidla zvířetem a samostatných škod na ráfcích a pneumatikách. Pojistitel poskytne pojistné plnění i v případě požáru definovaného jako oheň vzniklý mimo vozidlo působením přírodních sil nebo jednáním osob, který se rozšířil do prostoru, kde se vozidlo nacházelo a zapříčinil jeho poškození či zničení, oheň způsobený zkratem nebo hořením elektrického zařízení, oheň vzniklý ve vozidle, způsobený technickou závadou nebo jednáním třetích osob. Pojištění se vztahuje i na škody způsobené průvodními jevy požáru tj. působením tepla, zplodin hoření vznikajících při požáru a dále působením hasební látky použité při zásahu proti požáru.</w:t>
      </w:r>
    </w:p>
    <w:p w14:paraId="3EBDD49C" w14:textId="77777777" w:rsidR="005E73A4" w:rsidRPr="002E6255" w:rsidRDefault="005E73A4" w:rsidP="005E73A4">
      <w:pPr>
        <w:numPr>
          <w:ilvl w:val="12"/>
          <w:numId w:val="0"/>
        </w:numPr>
        <w:tabs>
          <w:tab w:val="left" w:pos="5040"/>
        </w:tabs>
        <w:spacing w:before="120" w:line="240" w:lineRule="auto"/>
        <w:rPr>
          <w:rFonts w:ascii="Arial" w:hAnsi="Arial" w:cs="Arial"/>
          <w:sz w:val="20"/>
          <w:szCs w:val="20"/>
        </w:rPr>
      </w:pPr>
      <w:r w:rsidRPr="002E6255">
        <w:rPr>
          <w:rFonts w:ascii="Arial" w:hAnsi="Arial" w:cs="Arial"/>
          <w:b/>
          <w:sz w:val="20"/>
          <w:szCs w:val="20"/>
        </w:rPr>
        <w:t>Spoluúčast:</w:t>
      </w:r>
      <w:r w:rsidR="00E3152A" w:rsidRPr="002E6255">
        <w:rPr>
          <w:rFonts w:ascii="Arial" w:hAnsi="Arial" w:cs="Arial"/>
          <w:sz w:val="20"/>
          <w:szCs w:val="20"/>
        </w:rPr>
        <w:t xml:space="preserve"> 5 %, min. 5.000 Kč</w:t>
      </w:r>
    </w:p>
    <w:p w14:paraId="13923320" w14:textId="41B31A08" w:rsidR="006B6EE6" w:rsidRPr="002E6255" w:rsidRDefault="006B6EE6" w:rsidP="002E6255">
      <w:pPr>
        <w:numPr>
          <w:ilvl w:val="12"/>
          <w:numId w:val="0"/>
        </w:numPr>
        <w:spacing w:before="120" w:line="240" w:lineRule="auto"/>
        <w:rPr>
          <w:rFonts w:ascii="Arial" w:hAnsi="Arial" w:cs="Arial"/>
          <w:sz w:val="20"/>
          <w:szCs w:val="20"/>
        </w:rPr>
      </w:pPr>
      <w:r w:rsidRPr="002E6255">
        <w:rPr>
          <w:rFonts w:ascii="Arial" w:hAnsi="Arial" w:cs="Arial"/>
          <w:b/>
          <w:sz w:val="20"/>
          <w:szCs w:val="20"/>
        </w:rPr>
        <w:t>Počet pojištěných vozidel</w:t>
      </w:r>
      <w:r w:rsidR="005C08DC">
        <w:rPr>
          <w:rFonts w:ascii="Arial" w:hAnsi="Arial" w:cs="Arial"/>
          <w:sz w:val="20"/>
          <w:szCs w:val="20"/>
        </w:rPr>
        <w:t xml:space="preserve">: </w:t>
      </w:r>
      <w:r w:rsidRPr="002E6255">
        <w:rPr>
          <w:rFonts w:ascii="Arial" w:hAnsi="Arial" w:cs="Arial"/>
          <w:sz w:val="20"/>
          <w:szCs w:val="20"/>
        </w:rPr>
        <w:t>v </w:t>
      </w:r>
      <w:r w:rsidR="00E37560">
        <w:rPr>
          <w:rFonts w:ascii="Arial" w:hAnsi="Arial" w:cs="Arial"/>
          <w:sz w:val="20"/>
          <w:szCs w:val="20"/>
        </w:rPr>
        <w:t>současnosti 262</w:t>
      </w:r>
      <w:r w:rsidRPr="00E96F8E">
        <w:rPr>
          <w:rFonts w:ascii="Arial" w:hAnsi="Arial" w:cs="Arial"/>
          <w:sz w:val="20"/>
          <w:szCs w:val="20"/>
        </w:rPr>
        <w:t xml:space="preserve"> vozidel (z toho 39 vozidel ADR</w:t>
      </w:r>
      <w:r w:rsidR="00264482" w:rsidRPr="00E96F8E">
        <w:rPr>
          <w:rFonts w:ascii="Arial" w:hAnsi="Arial" w:cs="Arial"/>
          <w:sz w:val="20"/>
          <w:szCs w:val="20"/>
        </w:rPr>
        <w:t xml:space="preserve">). Podrobná </w:t>
      </w:r>
      <w:r w:rsidR="00876A0D" w:rsidRPr="00E96F8E">
        <w:rPr>
          <w:rFonts w:ascii="Arial" w:hAnsi="Arial" w:cs="Arial"/>
          <w:sz w:val="20"/>
          <w:szCs w:val="20"/>
        </w:rPr>
        <w:t>specifikace</w:t>
      </w:r>
      <w:r w:rsidRPr="00E96F8E">
        <w:rPr>
          <w:rFonts w:ascii="Arial" w:hAnsi="Arial" w:cs="Arial"/>
          <w:sz w:val="20"/>
          <w:szCs w:val="20"/>
        </w:rPr>
        <w:t xml:space="preserve"> vozidel a jejich počet je uveden v příloze č.</w:t>
      </w:r>
      <w:r w:rsidR="00E96F8E">
        <w:rPr>
          <w:rFonts w:ascii="Arial" w:hAnsi="Arial" w:cs="Arial"/>
          <w:sz w:val="20"/>
          <w:szCs w:val="20"/>
        </w:rPr>
        <w:t xml:space="preserve"> </w:t>
      </w:r>
      <w:r w:rsidR="00E96F8E" w:rsidRPr="00E96F8E">
        <w:rPr>
          <w:rFonts w:ascii="Arial" w:hAnsi="Arial" w:cs="Arial"/>
          <w:sz w:val="20"/>
          <w:szCs w:val="20"/>
        </w:rPr>
        <w:t>5</w:t>
      </w:r>
      <w:r w:rsidRPr="00E96F8E">
        <w:rPr>
          <w:rFonts w:ascii="Arial" w:hAnsi="Arial" w:cs="Arial"/>
          <w:sz w:val="20"/>
          <w:szCs w:val="20"/>
        </w:rPr>
        <w:t xml:space="preserve"> této zadávací dokumentace veřejné zakázky – seznam vozidel.</w:t>
      </w:r>
    </w:p>
    <w:p w14:paraId="6AC00CEB" w14:textId="138EA38C" w:rsidR="006B6EE6" w:rsidRPr="002E6255" w:rsidRDefault="005E73A4" w:rsidP="005E73A4">
      <w:pPr>
        <w:numPr>
          <w:ilvl w:val="12"/>
          <w:numId w:val="0"/>
        </w:numPr>
        <w:spacing w:before="120" w:line="240" w:lineRule="auto"/>
        <w:rPr>
          <w:rFonts w:ascii="Arial" w:hAnsi="Arial" w:cs="Arial"/>
          <w:b/>
          <w:sz w:val="20"/>
          <w:szCs w:val="20"/>
          <w:u w:val="single"/>
        </w:rPr>
      </w:pPr>
      <w:r w:rsidRPr="002E6255">
        <w:rPr>
          <w:rFonts w:ascii="Arial" w:hAnsi="Arial" w:cs="Arial"/>
          <w:b/>
          <w:sz w:val="20"/>
          <w:szCs w:val="20"/>
        </w:rPr>
        <w:t>Požadavek na zpracování ceny</w:t>
      </w:r>
      <w:r w:rsidR="005C08DC" w:rsidRPr="002E6255">
        <w:rPr>
          <w:rFonts w:ascii="Arial" w:hAnsi="Arial" w:cs="Arial"/>
          <w:b/>
          <w:sz w:val="20"/>
          <w:szCs w:val="20"/>
        </w:rPr>
        <w:t>:</w:t>
      </w:r>
      <w:r w:rsidR="005C08DC">
        <w:rPr>
          <w:rFonts w:ascii="Arial" w:hAnsi="Arial" w:cs="Arial"/>
          <w:b/>
          <w:sz w:val="20"/>
          <w:szCs w:val="20"/>
          <w:u w:val="single"/>
        </w:rPr>
        <w:t xml:space="preserve"> </w:t>
      </w:r>
      <w:r w:rsidRPr="002E6255">
        <w:rPr>
          <w:rFonts w:ascii="Arial" w:hAnsi="Arial" w:cs="Arial"/>
          <w:sz w:val="20"/>
          <w:szCs w:val="20"/>
        </w:rPr>
        <w:t xml:space="preserve">Pojištění je sjednáno na novou </w:t>
      </w:r>
      <w:r w:rsidR="00BF7A22" w:rsidRPr="002E6255">
        <w:rPr>
          <w:rFonts w:ascii="Arial" w:hAnsi="Arial" w:cs="Arial"/>
          <w:sz w:val="20"/>
          <w:szCs w:val="20"/>
        </w:rPr>
        <w:t xml:space="preserve">nebo obecnou </w:t>
      </w:r>
      <w:r w:rsidRPr="002E6255">
        <w:rPr>
          <w:rFonts w:ascii="Arial" w:hAnsi="Arial" w:cs="Arial"/>
          <w:sz w:val="20"/>
          <w:szCs w:val="20"/>
        </w:rPr>
        <w:t xml:space="preserve">cenu. Cena nového vozidla včetně výbavy doložená fakturou vystavenou autorizovaným prodejcem nových vozidel v ČR. </w:t>
      </w:r>
      <w:r w:rsidRPr="00E96F8E">
        <w:rPr>
          <w:rFonts w:ascii="Arial" w:hAnsi="Arial" w:cs="Arial"/>
          <w:sz w:val="20"/>
          <w:szCs w:val="20"/>
        </w:rPr>
        <w:t xml:space="preserve">Pojistitel akceptuje pojistnou částku stanovenou pojistníkem nebo makléřem. Stanovení výchozí ceny vozidla pro výpočet pojistného je vždy na straně makléře. Specifikace pojistných částek je uvedena v příloze č. </w:t>
      </w:r>
      <w:r w:rsidR="00E96F8E" w:rsidRPr="00E96F8E">
        <w:rPr>
          <w:rFonts w:ascii="Arial" w:hAnsi="Arial" w:cs="Arial"/>
          <w:sz w:val="20"/>
          <w:szCs w:val="20"/>
        </w:rPr>
        <w:t>5</w:t>
      </w:r>
      <w:r w:rsidRPr="00E96F8E">
        <w:rPr>
          <w:rFonts w:ascii="Arial" w:hAnsi="Arial" w:cs="Arial"/>
          <w:sz w:val="20"/>
          <w:szCs w:val="20"/>
        </w:rPr>
        <w:t xml:space="preserve"> této zadávací dokume</w:t>
      </w:r>
      <w:r w:rsidR="00E37560">
        <w:rPr>
          <w:rFonts w:ascii="Arial" w:hAnsi="Arial" w:cs="Arial"/>
          <w:sz w:val="20"/>
          <w:szCs w:val="20"/>
        </w:rPr>
        <w:t xml:space="preserve">ntace veřejné zakázky – seznam </w:t>
      </w:r>
      <w:r w:rsidRPr="00E96F8E">
        <w:rPr>
          <w:rFonts w:ascii="Arial" w:hAnsi="Arial" w:cs="Arial"/>
          <w:sz w:val="20"/>
          <w:szCs w:val="20"/>
        </w:rPr>
        <w:t>vozidel.</w:t>
      </w:r>
    </w:p>
    <w:p w14:paraId="64BC7959" w14:textId="77777777" w:rsidR="005E73A4" w:rsidRPr="002E6255" w:rsidRDefault="005E73A4" w:rsidP="005E73A4">
      <w:pPr>
        <w:numPr>
          <w:ilvl w:val="12"/>
          <w:numId w:val="0"/>
        </w:numPr>
        <w:spacing w:before="120" w:line="240" w:lineRule="auto"/>
        <w:rPr>
          <w:rFonts w:ascii="Arial" w:hAnsi="Arial" w:cs="Arial"/>
          <w:b/>
          <w:sz w:val="20"/>
          <w:szCs w:val="20"/>
        </w:rPr>
      </w:pPr>
      <w:r w:rsidRPr="002E6255">
        <w:rPr>
          <w:rFonts w:ascii="Arial" w:hAnsi="Arial" w:cs="Arial"/>
          <w:b/>
          <w:sz w:val="20"/>
          <w:szCs w:val="20"/>
        </w:rPr>
        <w:t>Další požadavky na pojištění</w:t>
      </w:r>
    </w:p>
    <w:p w14:paraId="2D882D57" w14:textId="77777777" w:rsidR="005E73A4" w:rsidRPr="002E6255" w:rsidRDefault="005E73A4" w:rsidP="005E73A4">
      <w:pPr>
        <w:numPr>
          <w:ilvl w:val="12"/>
          <w:numId w:val="0"/>
        </w:numPr>
        <w:spacing w:before="120" w:line="240" w:lineRule="auto"/>
        <w:rPr>
          <w:rFonts w:ascii="Arial" w:hAnsi="Arial" w:cs="Arial"/>
          <w:sz w:val="20"/>
          <w:szCs w:val="20"/>
        </w:rPr>
      </w:pPr>
      <w:r w:rsidRPr="002E6255">
        <w:rPr>
          <w:rFonts w:ascii="Arial" w:hAnsi="Arial" w:cs="Arial"/>
          <w:b/>
          <w:sz w:val="20"/>
          <w:szCs w:val="20"/>
        </w:rPr>
        <w:t>Polepy</w:t>
      </w:r>
      <w:r w:rsidR="005C08DC">
        <w:rPr>
          <w:rFonts w:ascii="Arial" w:hAnsi="Arial" w:cs="Arial"/>
          <w:sz w:val="20"/>
          <w:szCs w:val="20"/>
        </w:rPr>
        <w:t xml:space="preserve">: </w:t>
      </w:r>
      <w:r w:rsidRPr="002E6255">
        <w:rPr>
          <w:rFonts w:ascii="Arial" w:hAnsi="Arial" w:cs="Arial"/>
          <w:sz w:val="20"/>
          <w:szCs w:val="20"/>
        </w:rPr>
        <w:t>Pojištění se vztahuje u každého vozidla vždy i na polepy, reklamní nápisy a malby všeho druhu na vozidlech. Cena polepů včetně montáže je zohledněna v pojistné částce vozidla.</w:t>
      </w:r>
    </w:p>
    <w:p w14:paraId="5C402C8F" w14:textId="77777777" w:rsidR="005E73A4" w:rsidRPr="002E6255" w:rsidRDefault="005E73A4" w:rsidP="005E73A4">
      <w:pPr>
        <w:numPr>
          <w:ilvl w:val="12"/>
          <w:numId w:val="0"/>
        </w:numPr>
        <w:spacing w:before="120" w:line="240" w:lineRule="auto"/>
        <w:rPr>
          <w:rFonts w:ascii="Arial" w:hAnsi="Arial" w:cs="Arial"/>
          <w:sz w:val="20"/>
          <w:szCs w:val="20"/>
        </w:rPr>
      </w:pPr>
      <w:r w:rsidRPr="002E6255">
        <w:rPr>
          <w:rFonts w:ascii="Arial" w:hAnsi="Arial" w:cs="Arial"/>
          <w:b/>
          <w:sz w:val="20"/>
          <w:szCs w:val="20"/>
        </w:rPr>
        <w:t>Výbava vozidel</w:t>
      </w:r>
      <w:r w:rsidR="005C08DC">
        <w:rPr>
          <w:rFonts w:ascii="Arial" w:hAnsi="Arial" w:cs="Arial"/>
          <w:sz w:val="20"/>
          <w:szCs w:val="20"/>
        </w:rPr>
        <w:t>:</w:t>
      </w:r>
      <w:r w:rsidRPr="002E6255">
        <w:rPr>
          <w:rFonts w:ascii="Arial" w:hAnsi="Arial" w:cs="Arial"/>
          <w:sz w:val="20"/>
          <w:szCs w:val="20"/>
        </w:rPr>
        <w:t xml:space="preserve"> Pojištění se vztahuje u každého vozidla vždy i na standardní, nadstandardní a zvláštní výbavu vozidel nebo jiné předměty vztahujících se k vozidlu nebo jeho provozu, jejichž hodnota je zahrnuta v pojistné částce (zvukové a výstražní zařízení-majáky, radiotelefon, </w:t>
      </w:r>
      <w:r w:rsidR="00956B9F" w:rsidRPr="002E6255">
        <w:rPr>
          <w:rFonts w:ascii="Arial" w:hAnsi="Arial" w:cs="Arial"/>
          <w:sz w:val="20"/>
          <w:szCs w:val="20"/>
        </w:rPr>
        <w:t xml:space="preserve">videotechniku, tažné </w:t>
      </w:r>
      <w:r w:rsidR="00956B9F" w:rsidRPr="002E6255">
        <w:rPr>
          <w:rFonts w:ascii="Arial" w:hAnsi="Arial" w:cs="Arial"/>
          <w:sz w:val="20"/>
          <w:szCs w:val="20"/>
        </w:rPr>
        <w:lastRenderedPageBreak/>
        <w:t>zařízení, pracovní ruky, jeřáby</w:t>
      </w:r>
      <w:r w:rsidRPr="002E6255">
        <w:rPr>
          <w:rFonts w:ascii="Arial" w:hAnsi="Arial" w:cs="Arial"/>
          <w:sz w:val="20"/>
          <w:szCs w:val="20"/>
        </w:rPr>
        <w:t>).</w:t>
      </w:r>
    </w:p>
    <w:p w14:paraId="24FA4E81" w14:textId="77777777" w:rsidR="005E73A4" w:rsidRPr="002E6255" w:rsidRDefault="005E73A4" w:rsidP="005E73A4">
      <w:pPr>
        <w:numPr>
          <w:ilvl w:val="12"/>
          <w:numId w:val="0"/>
        </w:numPr>
        <w:spacing w:before="120" w:line="240" w:lineRule="auto"/>
        <w:rPr>
          <w:rFonts w:ascii="Arial" w:hAnsi="Arial" w:cs="Arial"/>
          <w:sz w:val="20"/>
          <w:szCs w:val="20"/>
        </w:rPr>
      </w:pPr>
      <w:r w:rsidRPr="002E6255">
        <w:rPr>
          <w:rFonts w:ascii="Arial" w:hAnsi="Arial" w:cs="Arial"/>
          <w:b/>
          <w:sz w:val="20"/>
          <w:szCs w:val="20"/>
        </w:rPr>
        <w:t>Asistenční služby</w:t>
      </w:r>
      <w:r w:rsidR="005C08DC">
        <w:rPr>
          <w:rFonts w:ascii="Arial" w:hAnsi="Arial" w:cs="Arial"/>
          <w:b/>
          <w:sz w:val="20"/>
          <w:szCs w:val="20"/>
        </w:rPr>
        <w:t xml:space="preserve">: </w:t>
      </w:r>
      <w:r w:rsidRPr="002E6255">
        <w:rPr>
          <w:rFonts w:ascii="Arial" w:hAnsi="Arial" w:cs="Arial"/>
          <w:sz w:val="20"/>
          <w:szCs w:val="20"/>
        </w:rPr>
        <w:t xml:space="preserve">Pojištění zahrnuje u každého vozidla vždy i asistenční služby, a to v souvislosti s havárií vozidla i v souvislosti s poruchou vozidla. </w:t>
      </w:r>
    </w:p>
    <w:p w14:paraId="31A27B90" w14:textId="77777777" w:rsidR="006B6EE6" w:rsidRPr="009B7003" w:rsidRDefault="005E73A4" w:rsidP="009B7003">
      <w:pPr>
        <w:numPr>
          <w:ilvl w:val="12"/>
          <w:numId w:val="0"/>
        </w:numPr>
        <w:spacing w:before="120" w:line="240" w:lineRule="auto"/>
        <w:rPr>
          <w:rFonts w:ascii="Arial" w:hAnsi="Arial" w:cs="Arial"/>
          <w:b/>
          <w:sz w:val="20"/>
          <w:szCs w:val="20"/>
        </w:rPr>
      </w:pPr>
      <w:r w:rsidRPr="002E6255">
        <w:rPr>
          <w:rFonts w:ascii="Arial" w:hAnsi="Arial" w:cs="Arial"/>
          <w:b/>
          <w:sz w:val="20"/>
          <w:szCs w:val="20"/>
        </w:rPr>
        <w:t>Zabezpečení</w:t>
      </w:r>
      <w:r w:rsidR="005C08DC">
        <w:rPr>
          <w:rFonts w:ascii="Arial" w:hAnsi="Arial" w:cs="Arial"/>
          <w:b/>
          <w:sz w:val="20"/>
          <w:szCs w:val="20"/>
        </w:rPr>
        <w:t>:</w:t>
      </w:r>
      <w:r w:rsidR="006B6EE6" w:rsidRPr="002E6255">
        <w:rPr>
          <w:rFonts w:ascii="Arial" w:hAnsi="Arial" w:cs="Arial"/>
          <w:b/>
          <w:sz w:val="20"/>
          <w:szCs w:val="20"/>
        </w:rPr>
        <w:t xml:space="preserve"> </w:t>
      </w:r>
      <w:r w:rsidRPr="002E6255">
        <w:rPr>
          <w:rFonts w:ascii="Arial" w:hAnsi="Arial" w:cs="Arial"/>
          <w:sz w:val="20"/>
          <w:szCs w:val="20"/>
        </w:rPr>
        <w:t>Vozidla jsou vybavena standardním zabezpečením dodávaným výrobcem. Ujednává se, že pojistitel akceptuje způsob zabezpečení jednotlivých vozidel. Zabezpečení vozidla nemá vliv na cenu/sazbu pojistného a pojistitel nebude vyžadovat vyšší typy zabezpečení s ohledem na pojistnou částku.</w:t>
      </w:r>
    </w:p>
    <w:p w14:paraId="416B0ED7" w14:textId="3B51137E" w:rsidR="006B6EE6" w:rsidRPr="00E96F8E" w:rsidRDefault="006B6EE6" w:rsidP="009B7003">
      <w:pPr>
        <w:numPr>
          <w:ilvl w:val="12"/>
          <w:numId w:val="0"/>
        </w:numPr>
        <w:spacing w:before="120" w:line="240" w:lineRule="auto"/>
        <w:rPr>
          <w:rFonts w:ascii="Arial" w:hAnsi="Arial" w:cs="Arial"/>
          <w:sz w:val="20"/>
          <w:szCs w:val="20"/>
        </w:rPr>
      </w:pPr>
      <w:r w:rsidRPr="002E6255">
        <w:rPr>
          <w:rFonts w:ascii="Arial" w:hAnsi="Arial" w:cs="Arial"/>
          <w:b/>
          <w:sz w:val="20"/>
          <w:szCs w:val="20"/>
        </w:rPr>
        <w:t>Přeprava nebezpečných látek, věcí a předmětů</w:t>
      </w:r>
      <w:r w:rsidR="005C08DC">
        <w:rPr>
          <w:rFonts w:ascii="Arial" w:hAnsi="Arial" w:cs="Arial"/>
          <w:b/>
          <w:sz w:val="20"/>
          <w:szCs w:val="20"/>
        </w:rPr>
        <w:t xml:space="preserve">: </w:t>
      </w:r>
      <w:r w:rsidR="00F67375" w:rsidRPr="002E6255">
        <w:rPr>
          <w:rFonts w:ascii="Arial" w:hAnsi="Arial" w:cs="Arial"/>
          <w:sz w:val="20"/>
          <w:szCs w:val="20"/>
        </w:rPr>
        <w:t>39</w:t>
      </w:r>
      <w:r w:rsidRPr="002E6255">
        <w:rPr>
          <w:rFonts w:ascii="Arial" w:hAnsi="Arial" w:cs="Arial"/>
          <w:sz w:val="20"/>
          <w:szCs w:val="20"/>
        </w:rPr>
        <w:t xml:space="preserve"> vozidel </w:t>
      </w:r>
      <w:r w:rsidRPr="00E96F8E">
        <w:rPr>
          <w:rFonts w:ascii="Arial" w:hAnsi="Arial" w:cs="Arial"/>
          <w:sz w:val="20"/>
          <w:szCs w:val="20"/>
        </w:rPr>
        <w:t>vozového parku v režimu ADR vyžadující speciální režim bezpečnosti</w:t>
      </w:r>
      <w:r w:rsidR="000D0E41" w:rsidRPr="00E96F8E">
        <w:rPr>
          <w:rFonts w:ascii="Arial" w:hAnsi="Arial" w:cs="Arial"/>
          <w:sz w:val="20"/>
          <w:szCs w:val="20"/>
        </w:rPr>
        <w:t xml:space="preserve">, </w:t>
      </w:r>
      <w:r w:rsidR="00A06169" w:rsidRPr="00E96F8E">
        <w:rPr>
          <w:rFonts w:ascii="Arial" w:hAnsi="Arial" w:cs="Arial"/>
          <w:sz w:val="20"/>
          <w:szCs w:val="20"/>
        </w:rPr>
        <w:t xml:space="preserve">konkrétní </w:t>
      </w:r>
      <w:r w:rsidR="000D0E41" w:rsidRPr="00E96F8E">
        <w:rPr>
          <w:rFonts w:ascii="Arial" w:hAnsi="Arial" w:cs="Arial"/>
          <w:sz w:val="20"/>
          <w:szCs w:val="20"/>
        </w:rPr>
        <w:t xml:space="preserve">vozidla jsou v příloze č. </w:t>
      </w:r>
      <w:r w:rsidR="00E96F8E" w:rsidRPr="00E96F8E">
        <w:rPr>
          <w:rFonts w:ascii="Arial" w:hAnsi="Arial" w:cs="Arial"/>
          <w:sz w:val="20"/>
          <w:szCs w:val="20"/>
        </w:rPr>
        <w:t>5</w:t>
      </w:r>
      <w:r w:rsidR="000D0E41" w:rsidRPr="00E96F8E">
        <w:rPr>
          <w:rFonts w:ascii="Arial" w:hAnsi="Arial" w:cs="Arial"/>
          <w:sz w:val="20"/>
          <w:szCs w:val="20"/>
        </w:rPr>
        <w:t xml:space="preserve"> této zadávací dokumentace veřejné zakázky – seznam vozidel </w:t>
      </w:r>
      <w:r w:rsidR="00A06169" w:rsidRPr="00E96F8E">
        <w:rPr>
          <w:rFonts w:ascii="Arial" w:hAnsi="Arial" w:cs="Arial"/>
          <w:sz w:val="20"/>
          <w:szCs w:val="20"/>
        </w:rPr>
        <w:t xml:space="preserve">označena </w:t>
      </w:r>
      <w:r w:rsidR="000D0E41" w:rsidRPr="00E96F8E">
        <w:rPr>
          <w:rFonts w:ascii="Arial" w:hAnsi="Arial" w:cs="Arial"/>
          <w:sz w:val="20"/>
          <w:szCs w:val="20"/>
        </w:rPr>
        <w:t>ve sloupci s názvem užití vozidla.</w:t>
      </w:r>
    </w:p>
    <w:p w14:paraId="43252B8B" w14:textId="0E4002E0" w:rsidR="005E73A4" w:rsidRPr="002E6255" w:rsidRDefault="005E73A4" w:rsidP="005E73A4">
      <w:pPr>
        <w:numPr>
          <w:ilvl w:val="12"/>
          <w:numId w:val="0"/>
        </w:numPr>
        <w:tabs>
          <w:tab w:val="left" w:pos="5040"/>
        </w:tabs>
        <w:spacing w:before="120" w:line="240" w:lineRule="auto"/>
        <w:rPr>
          <w:rFonts w:ascii="Arial" w:hAnsi="Arial" w:cs="Arial"/>
          <w:sz w:val="20"/>
          <w:szCs w:val="20"/>
        </w:rPr>
      </w:pPr>
      <w:r w:rsidRPr="00E96F8E">
        <w:rPr>
          <w:rFonts w:ascii="Arial" w:hAnsi="Arial" w:cs="Arial"/>
          <w:b/>
          <w:sz w:val="20"/>
          <w:szCs w:val="20"/>
        </w:rPr>
        <w:t>Úplná (totální) škoda</w:t>
      </w:r>
      <w:r w:rsidR="005C08DC" w:rsidRPr="00E96F8E">
        <w:rPr>
          <w:rFonts w:ascii="Arial" w:hAnsi="Arial" w:cs="Arial"/>
          <w:sz w:val="20"/>
          <w:szCs w:val="20"/>
        </w:rPr>
        <w:t xml:space="preserve">: </w:t>
      </w:r>
      <w:r w:rsidR="00716DED">
        <w:rPr>
          <w:rFonts w:ascii="Arial" w:hAnsi="Arial" w:cs="Arial"/>
          <w:sz w:val="20"/>
          <w:szCs w:val="20"/>
        </w:rPr>
        <w:t xml:space="preserve">se rozumí zničení nebo takové poškození </w:t>
      </w:r>
      <w:r w:rsidRPr="00E96F8E">
        <w:rPr>
          <w:rFonts w:ascii="Arial" w:hAnsi="Arial" w:cs="Arial"/>
          <w:sz w:val="20"/>
          <w:szCs w:val="20"/>
        </w:rPr>
        <w:t>vozidla</w:t>
      </w:r>
      <w:r w:rsidRPr="002E6255">
        <w:rPr>
          <w:rFonts w:ascii="Arial" w:hAnsi="Arial" w:cs="Arial"/>
          <w:sz w:val="20"/>
          <w:szCs w:val="20"/>
        </w:rPr>
        <w:t xml:space="preserve">, které je technicky neopravitelné nebo náklady </w:t>
      </w:r>
      <w:r w:rsidRPr="002E6255">
        <w:rPr>
          <w:rFonts w:ascii="Arial" w:hAnsi="Arial" w:cs="Arial"/>
          <w:b/>
          <w:sz w:val="20"/>
          <w:szCs w:val="20"/>
        </w:rPr>
        <w:t>na opravu jsou rovny, nebo převyšují obvyklou tržní cenu vozidla,</w:t>
      </w:r>
      <w:r w:rsidRPr="002E6255">
        <w:rPr>
          <w:rFonts w:ascii="Arial" w:hAnsi="Arial" w:cs="Arial"/>
          <w:sz w:val="20"/>
          <w:szCs w:val="20"/>
        </w:rPr>
        <w:t xml:space="preserve"> kterou mělo bezprostředně před pojistnou událostí.</w:t>
      </w:r>
    </w:p>
    <w:p w14:paraId="04043A62" w14:textId="77777777" w:rsidR="005E73A4" w:rsidRPr="002E6255" w:rsidRDefault="005E73A4" w:rsidP="009B7003">
      <w:pPr>
        <w:widowControl/>
        <w:autoSpaceDE w:val="0"/>
        <w:autoSpaceDN w:val="0"/>
        <w:spacing w:line="240" w:lineRule="auto"/>
        <w:textAlignment w:val="auto"/>
        <w:rPr>
          <w:rFonts w:ascii="Arial" w:hAnsi="Arial" w:cs="Arial"/>
          <w:sz w:val="20"/>
          <w:szCs w:val="20"/>
        </w:rPr>
      </w:pPr>
      <w:r w:rsidRPr="002E6255">
        <w:rPr>
          <w:rFonts w:ascii="Arial" w:hAnsi="Arial" w:cs="Arial"/>
          <w:sz w:val="20"/>
          <w:szCs w:val="20"/>
        </w:rPr>
        <w:t>V případě totální škody je pojistitel povinen poskytnout pojistné plnění rovnající se ceně vozidla obvyklé v místě a čase bezprostředně před škodní událostí, snížené o reálnou cenu jeho zbytků a výši spoluúčasti.</w:t>
      </w:r>
      <w:r w:rsidR="009B7003">
        <w:rPr>
          <w:rFonts w:ascii="Arial" w:hAnsi="Arial" w:cs="Arial"/>
          <w:sz w:val="20"/>
          <w:szCs w:val="20"/>
        </w:rPr>
        <w:t xml:space="preserve"> </w:t>
      </w:r>
      <w:r w:rsidRPr="002E6255">
        <w:rPr>
          <w:rFonts w:ascii="Arial" w:hAnsi="Arial" w:cs="Arial"/>
          <w:sz w:val="20"/>
          <w:szCs w:val="20"/>
        </w:rPr>
        <w:t xml:space="preserve">Limit pojistného plnění je výše pojistné částky vozidla. </w:t>
      </w:r>
    </w:p>
    <w:p w14:paraId="31406EA2" w14:textId="77777777" w:rsidR="005E73A4" w:rsidRDefault="005E73A4" w:rsidP="005E73A4">
      <w:pPr>
        <w:numPr>
          <w:ilvl w:val="12"/>
          <w:numId w:val="0"/>
        </w:numPr>
        <w:tabs>
          <w:tab w:val="left" w:pos="5040"/>
        </w:tabs>
        <w:spacing w:before="120" w:line="240" w:lineRule="auto"/>
        <w:rPr>
          <w:rFonts w:ascii="Arial" w:hAnsi="Arial" w:cs="Arial"/>
          <w:sz w:val="20"/>
          <w:szCs w:val="20"/>
        </w:rPr>
      </w:pPr>
      <w:r w:rsidRPr="002E6255">
        <w:rPr>
          <w:rFonts w:ascii="Arial" w:hAnsi="Arial" w:cs="Arial"/>
          <w:b/>
          <w:sz w:val="20"/>
          <w:szCs w:val="20"/>
        </w:rPr>
        <w:t>Parciální (částečná) škoda</w:t>
      </w:r>
      <w:r w:rsidR="005C08DC">
        <w:rPr>
          <w:rFonts w:ascii="Arial" w:hAnsi="Arial" w:cs="Arial"/>
          <w:sz w:val="20"/>
          <w:szCs w:val="20"/>
        </w:rPr>
        <w:t>:</w:t>
      </w:r>
      <w:r w:rsidRPr="002E6255">
        <w:rPr>
          <w:rFonts w:ascii="Arial" w:hAnsi="Arial" w:cs="Arial"/>
          <w:sz w:val="20"/>
          <w:szCs w:val="20"/>
        </w:rPr>
        <w:t xml:space="preserve"> pojistné plnění při parciálních škodách bude poskytováno v úrovni cen nových dílů a nebude uplatňována amortizace.</w:t>
      </w:r>
    </w:p>
    <w:p w14:paraId="0FE11D10" w14:textId="77777777" w:rsidR="004D74DA" w:rsidRPr="002E6255" w:rsidRDefault="004D74DA" w:rsidP="005E73A4">
      <w:pPr>
        <w:numPr>
          <w:ilvl w:val="12"/>
          <w:numId w:val="0"/>
        </w:numPr>
        <w:tabs>
          <w:tab w:val="left" w:pos="5040"/>
        </w:tabs>
        <w:spacing w:before="120" w:line="240" w:lineRule="auto"/>
        <w:rPr>
          <w:rFonts w:ascii="Arial" w:hAnsi="Arial" w:cs="Arial"/>
          <w:sz w:val="20"/>
          <w:szCs w:val="20"/>
        </w:rPr>
      </w:pPr>
    </w:p>
    <w:p w14:paraId="4A24AAFB" w14:textId="77777777" w:rsidR="005E73A4" w:rsidRPr="002E6255" w:rsidRDefault="005E73A4" w:rsidP="002E6255">
      <w:pPr>
        <w:pStyle w:val="Odstavecseseznamem"/>
        <w:numPr>
          <w:ilvl w:val="0"/>
          <w:numId w:val="12"/>
        </w:numPr>
        <w:tabs>
          <w:tab w:val="left" w:pos="5040"/>
        </w:tabs>
        <w:spacing w:before="120"/>
        <w:ind w:left="284" w:hanging="284"/>
        <w:rPr>
          <w:rFonts w:ascii="Arial" w:hAnsi="Arial" w:cs="Arial"/>
          <w:b/>
          <w:sz w:val="20"/>
          <w:szCs w:val="20"/>
        </w:rPr>
      </w:pPr>
      <w:r w:rsidRPr="002E6255">
        <w:rPr>
          <w:rFonts w:ascii="Arial" w:hAnsi="Arial" w:cs="Arial"/>
          <w:b/>
          <w:sz w:val="20"/>
          <w:szCs w:val="20"/>
        </w:rPr>
        <w:t xml:space="preserve">Doplňková pojištění </w:t>
      </w:r>
    </w:p>
    <w:p w14:paraId="7BC0338D" w14:textId="77777777" w:rsidR="005E73A4" w:rsidRPr="002E6255" w:rsidRDefault="005E73A4" w:rsidP="002E6255">
      <w:pPr>
        <w:pStyle w:val="Adresa"/>
        <w:numPr>
          <w:ilvl w:val="0"/>
          <w:numId w:val="18"/>
        </w:numPr>
        <w:tabs>
          <w:tab w:val="clear" w:pos="851"/>
          <w:tab w:val="clear" w:pos="1701"/>
          <w:tab w:val="clear" w:pos="2552"/>
          <w:tab w:val="clear" w:pos="3402"/>
          <w:tab w:val="clear" w:pos="4253"/>
          <w:tab w:val="clear" w:pos="5103"/>
          <w:tab w:val="clear" w:pos="5954"/>
          <w:tab w:val="clear" w:pos="6804"/>
          <w:tab w:val="clear" w:pos="7655"/>
          <w:tab w:val="clear" w:pos="8505"/>
        </w:tabs>
        <w:spacing w:before="240" w:after="120"/>
        <w:ind w:left="284" w:hanging="284"/>
        <w:jc w:val="both"/>
        <w:rPr>
          <w:rFonts w:cs="Arial"/>
          <w:b/>
          <w:sz w:val="20"/>
        </w:rPr>
      </w:pPr>
      <w:r w:rsidRPr="002E6255">
        <w:rPr>
          <w:rFonts w:cs="Arial"/>
          <w:b/>
          <w:sz w:val="20"/>
        </w:rPr>
        <w:t>Pojištění všech skel</w:t>
      </w:r>
    </w:p>
    <w:p w14:paraId="1786964C" w14:textId="77777777" w:rsidR="005E73A4" w:rsidRPr="002E6255" w:rsidRDefault="005E73A4" w:rsidP="005E73A4">
      <w:pPr>
        <w:pStyle w:val="Adresa"/>
        <w:spacing w:before="240" w:after="120"/>
        <w:jc w:val="both"/>
        <w:rPr>
          <w:rFonts w:cs="Arial"/>
          <w:sz w:val="20"/>
        </w:rPr>
      </w:pPr>
      <w:r w:rsidRPr="002E6255">
        <w:rPr>
          <w:rFonts w:cs="Arial"/>
          <w:sz w:val="20"/>
        </w:rPr>
        <w:t xml:space="preserve">Pojištění se </w:t>
      </w:r>
      <w:r w:rsidR="006B6EE6" w:rsidRPr="002E6255">
        <w:rPr>
          <w:rFonts w:cs="Arial"/>
          <w:sz w:val="20"/>
        </w:rPr>
        <w:t>vztahuje na čelní, zadní, boční, střešní</w:t>
      </w:r>
      <w:r w:rsidRPr="002E6255">
        <w:rPr>
          <w:rFonts w:cs="Arial"/>
          <w:sz w:val="20"/>
        </w:rPr>
        <w:t xml:space="preserve"> skla oken</w:t>
      </w:r>
      <w:r w:rsidR="00C93D01">
        <w:rPr>
          <w:rFonts w:cs="Arial"/>
          <w:sz w:val="20"/>
        </w:rPr>
        <w:t xml:space="preserve"> </w:t>
      </w:r>
      <w:r w:rsidRPr="002E6255">
        <w:rPr>
          <w:rFonts w:cs="Arial"/>
          <w:sz w:val="20"/>
        </w:rPr>
        <w:t>slou</w:t>
      </w:r>
      <w:r w:rsidRPr="002E6255">
        <w:rPr>
          <w:rFonts w:cs="Arial"/>
          <w:sz w:val="20"/>
        </w:rPr>
        <w:softHyphen/>
        <w:t xml:space="preserve">žících </w:t>
      </w:r>
      <w:r w:rsidR="006B6EE6" w:rsidRPr="002E6255">
        <w:rPr>
          <w:rFonts w:cs="Arial"/>
          <w:sz w:val="20"/>
        </w:rPr>
        <w:t>k výhledu z pojištěného vozidla včetně autobusů.</w:t>
      </w:r>
      <w:r w:rsidR="009B7003">
        <w:rPr>
          <w:rFonts w:cs="Arial"/>
          <w:sz w:val="20"/>
        </w:rPr>
        <w:t xml:space="preserve"> Pojištění se vztahuje také na panoramatické střechy a krytí dešťových senzorů.</w:t>
      </w:r>
    </w:p>
    <w:p w14:paraId="21408EA5" w14:textId="77777777" w:rsidR="005E73A4" w:rsidRPr="00E96F8E" w:rsidRDefault="005E73A4" w:rsidP="005E73A4">
      <w:pPr>
        <w:pStyle w:val="Adresa"/>
        <w:spacing w:before="240" w:after="120"/>
        <w:rPr>
          <w:rFonts w:cs="Arial"/>
          <w:sz w:val="20"/>
        </w:rPr>
      </w:pPr>
      <w:r w:rsidRPr="002E6255">
        <w:rPr>
          <w:rFonts w:cs="Arial"/>
          <w:b/>
          <w:sz w:val="20"/>
        </w:rPr>
        <w:t xml:space="preserve">Územní rozsah pojištění: </w:t>
      </w:r>
      <w:r w:rsidRPr="002E6255">
        <w:rPr>
          <w:rFonts w:cs="Arial"/>
          <w:sz w:val="20"/>
        </w:rPr>
        <w:t xml:space="preserve">viz </w:t>
      </w:r>
      <w:r w:rsidRPr="00E96F8E">
        <w:rPr>
          <w:rFonts w:cs="Arial"/>
          <w:sz w:val="20"/>
        </w:rPr>
        <w:t>POV</w:t>
      </w:r>
    </w:p>
    <w:p w14:paraId="44AD09C9" w14:textId="475CF38D" w:rsidR="005E73A4" w:rsidRPr="00E96F8E" w:rsidRDefault="005E73A4" w:rsidP="005E73A4">
      <w:pPr>
        <w:pStyle w:val="Odstavecseseznamem"/>
        <w:ind w:left="1416" w:hanging="1416"/>
        <w:rPr>
          <w:rFonts w:ascii="Arial" w:hAnsi="Arial" w:cs="Arial"/>
          <w:sz w:val="20"/>
          <w:szCs w:val="20"/>
        </w:rPr>
      </w:pPr>
      <w:r w:rsidRPr="00E96F8E">
        <w:rPr>
          <w:rFonts w:ascii="Arial" w:hAnsi="Arial" w:cs="Arial"/>
          <w:sz w:val="20"/>
          <w:szCs w:val="20"/>
        </w:rPr>
        <w:t>Limit plnění:</w:t>
      </w:r>
      <w:r w:rsidRPr="00E96F8E">
        <w:rPr>
          <w:rFonts w:ascii="Arial" w:hAnsi="Arial" w:cs="Arial"/>
          <w:sz w:val="20"/>
          <w:szCs w:val="20"/>
        </w:rPr>
        <w:tab/>
        <w:t xml:space="preserve">jsou </w:t>
      </w:r>
      <w:r w:rsidRPr="00E96F8E">
        <w:rPr>
          <w:rFonts w:ascii="Arial" w:eastAsia="Times New Roman" w:hAnsi="Arial" w:cs="Arial"/>
          <w:sz w:val="20"/>
          <w:szCs w:val="20"/>
          <w:lang w:eastAsia="cs-CZ"/>
        </w:rPr>
        <w:t xml:space="preserve">uvedeny v příloze č. </w:t>
      </w:r>
      <w:r w:rsidR="00E96F8E" w:rsidRPr="00E96F8E">
        <w:rPr>
          <w:rFonts w:ascii="Arial" w:eastAsia="Times New Roman" w:hAnsi="Arial" w:cs="Arial"/>
          <w:sz w:val="20"/>
          <w:szCs w:val="20"/>
          <w:lang w:eastAsia="cs-CZ"/>
        </w:rPr>
        <w:t>5</w:t>
      </w:r>
      <w:r w:rsidRPr="00E96F8E">
        <w:rPr>
          <w:rFonts w:ascii="Arial" w:eastAsia="Times New Roman" w:hAnsi="Arial" w:cs="Arial"/>
          <w:sz w:val="20"/>
          <w:szCs w:val="20"/>
          <w:lang w:eastAsia="cs-CZ"/>
        </w:rPr>
        <w:t xml:space="preserve"> této zadávací dokumentace veřejné zakázky – seznam vozidel.</w:t>
      </w:r>
    </w:p>
    <w:p w14:paraId="3D5D468D" w14:textId="77777777" w:rsidR="005E73A4" w:rsidRPr="002E6255" w:rsidRDefault="005E73A4" w:rsidP="005E73A4">
      <w:pPr>
        <w:pStyle w:val="Odstavecseseznamem"/>
        <w:ind w:left="0"/>
        <w:rPr>
          <w:rFonts w:ascii="Arial" w:hAnsi="Arial" w:cs="Arial"/>
          <w:sz w:val="20"/>
          <w:szCs w:val="20"/>
        </w:rPr>
      </w:pPr>
      <w:r w:rsidRPr="00E96F8E">
        <w:rPr>
          <w:rFonts w:ascii="Arial" w:hAnsi="Arial" w:cs="Arial"/>
          <w:sz w:val="20"/>
          <w:szCs w:val="20"/>
        </w:rPr>
        <w:t>Spoluúčast:</w:t>
      </w:r>
      <w:r w:rsidRPr="00E96F8E">
        <w:rPr>
          <w:rFonts w:ascii="Arial" w:hAnsi="Arial" w:cs="Arial"/>
          <w:sz w:val="20"/>
          <w:szCs w:val="20"/>
        </w:rPr>
        <w:tab/>
        <w:t>0 Kč</w:t>
      </w:r>
    </w:p>
    <w:p w14:paraId="3E686398" w14:textId="769378A4" w:rsidR="006B6EE6" w:rsidRPr="002E6255" w:rsidRDefault="006B6EE6" w:rsidP="002E6255">
      <w:pPr>
        <w:pStyle w:val="Adresa"/>
        <w:spacing w:before="240" w:after="120"/>
        <w:jc w:val="both"/>
        <w:rPr>
          <w:rFonts w:cs="Arial"/>
          <w:sz w:val="20"/>
        </w:rPr>
      </w:pPr>
      <w:r w:rsidRPr="002E6255">
        <w:rPr>
          <w:rFonts w:cs="Arial"/>
          <w:sz w:val="20"/>
        </w:rPr>
        <w:t xml:space="preserve">Pojištění se bude vztahovat „na jednu a každou pojistnou událost“ v jednom pojistném roce. Pojištění pro případ náhlého poškození nebo zničení pojištěných skel havárií, živelní událostí nebo zničení úmyslným jednáním cizí osoby. Při opravě </w:t>
      </w:r>
      <w:r w:rsidR="001F7C6C">
        <w:rPr>
          <w:rFonts w:cs="Arial"/>
          <w:sz w:val="20"/>
        </w:rPr>
        <w:t xml:space="preserve">nebo výměně </w:t>
      </w:r>
      <w:bookmarkStart w:id="1" w:name="_GoBack"/>
      <w:bookmarkEnd w:id="1"/>
      <w:r w:rsidRPr="002E6255">
        <w:rPr>
          <w:rFonts w:cs="Arial"/>
          <w:sz w:val="20"/>
        </w:rPr>
        <w:t>okenních skel v nesmluvním servise nebude uplatněno krácení pojistného plnění.</w:t>
      </w:r>
    </w:p>
    <w:p w14:paraId="45C185ED" w14:textId="77777777" w:rsidR="005E73A4" w:rsidRPr="002E6255" w:rsidRDefault="005E73A4" w:rsidP="002E6255">
      <w:pPr>
        <w:pStyle w:val="Adresa"/>
        <w:numPr>
          <w:ilvl w:val="0"/>
          <w:numId w:val="18"/>
        </w:numPr>
        <w:tabs>
          <w:tab w:val="clear" w:pos="851"/>
          <w:tab w:val="clear" w:pos="1701"/>
          <w:tab w:val="clear" w:pos="2552"/>
          <w:tab w:val="clear" w:pos="3402"/>
          <w:tab w:val="clear" w:pos="4253"/>
          <w:tab w:val="clear" w:pos="5103"/>
          <w:tab w:val="clear" w:pos="5954"/>
          <w:tab w:val="clear" w:pos="6804"/>
          <w:tab w:val="clear" w:pos="7655"/>
          <w:tab w:val="clear" w:pos="8505"/>
        </w:tabs>
        <w:spacing w:before="240" w:after="120"/>
        <w:ind w:left="284" w:hanging="284"/>
        <w:jc w:val="both"/>
        <w:rPr>
          <w:rFonts w:cs="Arial"/>
          <w:b/>
          <w:sz w:val="20"/>
        </w:rPr>
      </w:pPr>
      <w:r w:rsidRPr="002E6255">
        <w:rPr>
          <w:rFonts w:cs="Arial"/>
          <w:b/>
          <w:sz w:val="20"/>
        </w:rPr>
        <w:t xml:space="preserve">Úrazové pojištění přepravovaných osob </w:t>
      </w:r>
    </w:p>
    <w:p w14:paraId="2C3BA86B" w14:textId="77777777" w:rsidR="005E73A4" w:rsidRPr="00E96F8E" w:rsidRDefault="005E73A4" w:rsidP="005E73A4">
      <w:pPr>
        <w:pStyle w:val="Adresa"/>
        <w:tabs>
          <w:tab w:val="clear" w:pos="851"/>
          <w:tab w:val="clear" w:pos="1701"/>
          <w:tab w:val="clear" w:pos="2552"/>
          <w:tab w:val="clear" w:pos="3402"/>
          <w:tab w:val="clear" w:pos="4253"/>
          <w:tab w:val="clear" w:pos="5103"/>
          <w:tab w:val="clear" w:pos="5954"/>
          <w:tab w:val="clear" w:pos="6804"/>
          <w:tab w:val="clear" w:pos="7655"/>
          <w:tab w:val="clear" w:pos="8505"/>
        </w:tabs>
        <w:spacing w:before="240" w:after="120"/>
        <w:jc w:val="both"/>
        <w:rPr>
          <w:rFonts w:cs="Arial"/>
          <w:sz w:val="20"/>
        </w:rPr>
      </w:pPr>
      <w:r w:rsidRPr="002E6255">
        <w:rPr>
          <w:rFonts w:cs="Arial"/>
          <w:b/>
          <w:sz w:val="20"/>
        </w:rPr>
        <w:t xml:space="preserve">Územní rozsah pojištění: </w:t>
      </w:r>
      <w:r w:rsidRPr="002E6255">
        <w:rPr>
          <w:rFonts w:cs="Arial"/>
          <w:sz w:val="20"/>
        </w:rPr>
        <w:t xml:space="preserve">viz </w:t>
      </w:r>
      <w:r w:rsidRPr="00E96F8E">
        <w:rPr>
          <w:rFonts w:cs="Arial"/>
          <w:sz w:val="20"/>
        </w:rPr>
        <w:t xml:space="preserve">HAV </w:t>
      </w:r>
    </w:p>
    <w:p w14:paraId="07B8EA1D" w14:textId="75281BB3" w:rsidR="005E73A4" w:rsidRPr="00E96F8E" w:rsidRDefault="005E73A4" w:rsidP="005E73A4">
      <w:pPr>
        <w:autoSpaceDE w:val="0"/>
        <w:autoSpaceDN w:val="0"/>
        <w:spacing w:line="240" w:lineRule="auto"/>
        <w:ind w:left="1416" w:hanging="1416"/>
        <w:rPr>
          <w:rFonts w:ascii="Arial" w:hAnsi="Arial" w:cs="Arial"/>
          <w:sz w:val="20"/>
          <w:szCs w:val="20"/>
        </w:rPr>
      </w:pPr>
      <w:r w:rsidRPr="00E96F8E">
        <w:rPr>
          <w:rFonts w:ascii="Arial" w:hAnsi="Arial" w:cs="Arial"/>
          <w:sz w:val="20"/>
          <w:szCs w:val="20"/>
        </w:rPr>
        <w:t>Pojistné částky:</w:t>
      </w:r>
      <w:r w:rsidRPr="00E96F8E">
        <w:rPr>
          <w:rFonts w:ascii="Arial" w:hAnsi="Arial" w:cs="Arial"/>
          <w:sz w:val="20"/>
          <w:szCs w:val="20"/>
        </w:rPr>
        <w:tab/>
        <w:t xml:space="preserve">jsou uvedeny v příloze č. </w:t>
      </w:r>
      <w:r w:rsidR="00E96F8E" w:rsidRPr="00E96F8E">
        <w:rPr>
          <w:rFonts w:ascii="Arial" w:hAnsi="Arial" w:cs="Arial"/>
          <w:sz w:val="20"/>
          <w:szCs w:val="20"/>
        </w:rPr>
        <w:t>5</w:t>
      </w:r>
      <w:r w:rsidRPr="00E96F8E">
        <w:rPr>
          <w:rFonts w:ascii="Arial" w:hAnsi="Arial" w:cs="Arial"/>
          <w:sz w:val="20"/>
          <w:szCs w:val="20"/>
        </w:rPr>
        <w:t xml:space="preserve"> této zadávací dokumentace veřejné zakázky – seznam vozidel.</w:t>
      </w:r>
    </w:p>
    <w:p w14:paraId="5BFA1AD2" w14:textId="77777777" w:rsidR="005E73A4" w:rsidRPr="002E6255" w:rsidRDefault="005E73A4" w:rsidP="005E73A4">
      <w:pPr>
        <w:pStyle w:val="Odstavecseseznamem"/>
        <w:autoSpaceDE w:val="0"/>
        <w:autoSpaceDN w:val="0"/>
        <w:ind w:left="0"/>
        <w:rPr>
          <w:rFonts w:ascii="Arial" w:hAnsi="Arial" w:cs="Arial"/>
          <w:sz w:val="20"/>
          <w:szCs w:val="20"/>
        </w:rPr>
      </w:pPr>
      <w:r w:rsidRPr="00E96F8E">
        <w:rPr>
          <w:rFonts w:ascii="Arial" w:hAnsi="Arial" w:cs="Arial"/>
          <w:sz w:val="20"/>
          <w:szCs w:val="20"/>
        </w:rPr>
        <w:t>Spoluúčast:</w:t>
      </w:r>
      <w:r w:rsidRPr="00E96F8E">
        <w:rPr>
          <w:rFonts w:ascii="Arial" w:hAnsi="Arial" w:cs="Arial"/>
          <w:sz w:val="20"/>
          <w:szCs w:val="20"/>
        </w:rPr>
        <w:tab/>
        <w:t>0 Kč</w:t>
      </w:r>
    </w:p>
    <w:p w14:paraId="24E3E4A6" w14:textId="77777777" w:rsidR="005E73A4" w:rsidRPr="002E6255" w:rsidRDefault="005E73A4" w:rsidP="005E73A4">
      <w:pPr>
        <w:pStyle w:val="Odstavecseseznamem"/>
        <w:spacing w:before="120"/>
        <w:ind w:left="0"/>
        <w:jc w:val="both"/>
        <w:rPr>
          <w:rFonts w:ascii="Arial" w:hAnsi="Arial" w:cs="Arial"/>
          <w:sz w:val="20"/>
          <w:szCs w:val="20"/>
        </w:rPr>
      </w:pPr>
      <w:r w:rsidRPr="002E6255">
        <w:rPr>
          <w:rFonts w:ascii="Arial" w:hAnsi="Arial" w:cs="Arial"/>
          <w:sz w:val="20"/>
          <w:szCs w:val="20"/>
        </w:rPr>
        <w:t>Úrazové připojištění se vztahuje na počet míst ve vozidle dle technického průkazu vozidla. Pojistné částky se vztahují na každou osobu. Neplatí pro motocykly.</w:t>
      </w:r>
    </w:p>
    <w:p w14:paraId="55C77F88" w14:textId="77777777" w:rsidR="00BF7A22" w:rsidRPr="002E3FA6" w:rsidRDefault="00BF7A22" w:rsidP="002E6255">
      <w:pPr>
        <w:pStyle w:val="Adresa"/>
        <w:numPr>
          <w:ilvl w:val="0"/>
          <w:numId w:val="18"/>
        </w:numPr>
        <w:tabs>
          <w:tab w:val="clear" w:pos="851"/>
          <w:tab w:val="clear" w:pos="1701"/>
          <w:tab w:val="clear" w:pos="2552"/>
          <w:tab w:val="clear" w:pos="3402"/>
          <w:tab w:val="clear" w:pos="4253"/>
          <w:tab w:val="clear" w:pos="5103"/>
          <w:tab w:val="clear" w:pos="5954"/>
          <w:tab w:val="clear" w:pos="6804"/>
          <w:tab w:val="clear" w:pos="7655"/>
          <w:tab w:val="clear" w:pos="8505"/>
        </w:tabs>
        <w:spacing w:before="240" w:after="120"/>
        <w:ind w:left="284" w:hanging="284"/>
        <w:jc w:val="both"/>
        <w:rPr>
          <w:rFonts w:cs="Arial"/>
          <w:b/>
          <w:sz w:val="20"/>
        </w:rPr>
      </w:pPr>
      <w:r w:rsidRPr="002E3FA6">
        <w:rPr>
          <w:rFonts w:cs="Arial"/>
          <w:b/>
          <w:sz w:val="20"/>
        </w:rPr>
        <w:t>Nadstandardní asistenční služby</w:t>
      </w:r>
    </w:p>
    <w:p w14:paraId="350C30F4" w14:textId="323FD003" w:rsidR="009B7003" w:rsidRDefault="00E5335C" w:rsidP="005E73A4">
      <w:pPr>
        <w:pStyle w:val="Odstavecseseznamem"/>
        <w:spacing w:before="120"/>
        <w:ind w:left="0"/>
        <w:jc w:val="both"/>
        <w:rPr>
          <w:rFonts w:ascii="Arial" w:hAnsi="Arial" w:cs="Arial"/>
          <w:sz w:val="20"/>
          <w:szCs w:val="20"/>
        </w:rPr>
      </w:pPr>
      <w:r w:rsidRPr="002E3FA6">
        <w:rPr>
          <w:rFonts w:ascii="Arial" w:hAnsi="Arial" w:cs="Arial"/>
          <w:sz w:val="20"/>
          <w:szCs w:val="20"/>
        </w:rPr>
        <w:t>V rámci nadstandardních asistenčních služeb hrazen nařízený odtah včetně vyproštění max. 50 000 Kč.</w:t>
      </w:r>
    </w:p>
    <w:p w14:paraId="551BDA88" w14:textId="289B6C46" w:rsidR="00716DED" w:rsidRDefault="00716DED" w:rsidP="005E73A4">
      <w:pPr>
        <w:pStyle w:val="Odstavecseseznamem"/>
        <w:spacing w:before="120"/>
        <w:ind w:left="0"/>
        <w:jc w:val="both"/>
        <w:rPr>
          <w:rFonts w:ascii="Arial" w:hAnsi="Arial" w:cs="Arial"/>
          <w:sz w:val="20"/>
          <w:szCs w:val="20"/>
        </w:rPr>
      </w:pPr>
    </w:p>
    <w:p w14:paraId="6D957D3D" w14:textId="1AF275C3" w:rsidR="00716DED" w:rsidRDefault="00716DED" w:rsidP="005E73A4">
      <w:pPr>
        <w:pStyle w:val="Odstavecseseznamem"/>
        <w:spacing w:before="120"/>
        <w:ind w:left="0"/>
        <w:jc w:val="both"/>
        <w:rPr>
          <w:rFonts w:ascii="Arial" w:hAnsi="Arial" w:cs="Arial"/>
          <w:sz w:val="20"/>
          <w:szCs w:val="20"/>
        </w:rPr>
      </w:pPr>
    </w:p>
    <w:p w14:paraId="629C8331" w14:textId="2961E856" w:rsidR="00716DED" w:rsidRDefault="00716DED" w:rsidP="005E73A4">
      <w:pPr>
        <w:pStyle w:val="Odstavecseseznamem"/>
        <w:spacing w:before="120"/>
        <w:ind w:left="0"/>
        <w:jc w:val="both"/>
        <w:rPr>
          <w:rFonts w:ascii="Arial" w:hAnsi="Arial" w:cs="Arial"/>
          <w:sz w:val="20"/>
          <w:szCs w:val="20"/>
        </w:rPr>
      </w:pPr>
    </w:p>
    <w:p w14:paraId="2C1AF68C" w14:textId="21712164" w:rsidR="00716DED" w:rsidRDefault="00716DED" w:rsidP="005E73A4">
      <w:pPr>
        <w:pStyle w:val="Odstavecseseznamem"/>
        <w:spacing w:before="120"/>
        <w:ind w:left="0"/>
        <w:jc w:val="both"/>
        <w:rPr>
          <w:rFonts w:ascii="Arial" w:hAnsi="Arial" w:cs="Arial"/>
          <w:sz w:val="20"/>
          <w:szCs w:val="20"/>
        </w:rPr>
      </w:pPr>
    </w:p>
    <w:p w14:paraId="0C1ACC94" w14:textId="77777777" w:rsidR="00716DED" w:rsidRPr="002E6255" w:rsidRDefault="00716DED" w:rsidP="005E73A4">
      <w:pPr>
        <w:pStyle w:val="Odstavecseseznamem"/>
        <w:spacing w:before="120"/>
        <w:ind w:left="0"/>
        <w:jc w:val="both"/>
        <w:rPr>
          <w:rFonts w:ascii="Arial" w:hAnsi="Arial" w:cs="Arial"/>
          <w:sz w:val="20"/>
          <w:szCs w:val="20"/>
        </w:rPr>
      </w:pPr>
    </w:p>
    <w:p w14:paraId="2FBEC281" w14:textId="77777777" w:rsidR="006B6EE6" w:rsidRPr="002E6255" w:rsidRDefault="006B6EE6" w:rsidP="002E6255">
      <w:pPr>
        <w:pStyle w:val="Odstavecseseznamem"/>
        <w:numPr>
          <w:ilvl w:val="0"/>
          <w:numId w:val="12"/>
        </w:numPr>
        <w:tabs>
          <w:tab w:val="left" w:pos="5040"/>
        </w:tabs>
        <w:spacing w:before="120"/>
        <w:ind w:left="284" w:hanging="284"/>
        <w:rPr>
          <w:rFonts w:ascii="Arial" w:hAnsi="Arial" w:cs="Arial"/>
          <w:b/>
          <w:sz w:val="20"/>
          <w:szCs w:val="20"/>
        </w:rPr>
      </w:pPr>
      <w:r w:rsidRPr="002E6255">
        <w:rPr>
          <w:rFonts w:ascii="Arial" w:hAnsi="Arial" w:cs="Arial"/>
          <w:b/>
          <w:sz w:val="20"/>
          <w:szCs w:val="20"/>
        </w:rPr>
        <w:lastRenderedPageBreak/>
        <w:t xml:space="preserve">Další doplňková připojištění </w:t>
      </w:r>
    </w:p>
    <w:p w14:paraId="44389BBD" w14:textId="77777777" w:rsidR="00C93D01" w:rsidRPr="002E6255" w:rsidRDefault="00C93D01" w:rsidP="006B6EE6">
      <w:pPr>
        <w:numPr>
          <w:ilvl w:val="12"/>
          <w:numId w:val="0"/>
        </w:numPr>
        <w:tabs>
          <w:tab w:val="left" w:pos="5040"/>
        </w:tabs>
        <w:spacing w:before="120" w:line="240" w:lineRule="auto"/>
        <w:rPr>
          <w:rFonts w:ascii="Arial" w:hAnsi="Arial" w:cs="Arial"/>
          <w:b/>
          <w:sz w:val="20"/>
          <w:szCs w:val="20"/>
        </w:rPr>
      </w:pPr>
    </w:p>
    <w:p w14:paraId="4ABB896F" w14:textId="77777777" w:rsidR="00C93D01" w:rsidRPr="002E6255" w:rsidRDefault="004D74DA" w:rsidP="002E6255">
      <w:pPr>
        <w:pStyle w:val="Odstavecseseznamem"/>
        <w:numPr>
          <w:ilvl w:val="0"/>
          <w:numId w:val="22"/>
        </w:numPr>
        <w:ind w:left="284" w:hanging="284"/>
        <w:rPr>
          <w:rFonts w:ascii="Arial" w:hAnsi="Arial" w:cs="Arial"/>
          <w:sz w:val="20"/>
          <w:szCs w:val="20"/>
        </w:rPr>
      </w:pPr>
      <w:r w:rsidRPr="002E6255">
        <w:rPr>
          <w:rFonts w:ascii="Arial" w:hAnsi="Arial" w:cs="Arial"/>
          <w:b/>
          <w:sz w:val="20"/>
          <w:szCs w:val="20"/>
        </w:rPr>
        <w:t>Pojištění č</w:t>
      </w:r>
      <w:r w:rsidR="006B6EE6" w:rsidRPr="002E6255">
        <w:rPr>
          <w:rFonts w:ascii="Arial" w:hAnsi="Arial" w:cs="Arial"/>
          <w:b/>
          <w:sz w:val="20"/>
          <w:szCs w:val="20"/>
        </w:rPr>
        <w:t>innost</w:t>
      </w:r>
      <w:r w:rsidRPr="002E6255">
        <w:rPr>
          <w:rFonts w:ascii="Arial" w:hAnsi="Arial" w:cs="Arial"/>
          <w:b/>
          <w:sz w:val="20"/>
          <w:szCs w:val="20"/>
        </w:rPr>
        <w:t>i</w:t>
      </w:r>
      <w:r w:rsidR="006B6EE6" w:rsidRPr="002E6255">
        <w:rPr>
          <w:rFonts w:ascii="Arial" w:hAnsi="Arial" w:cs="Arial"/>
          <w:b/>
          <w:sz w:val="20"/>
          <w:szCs w:val="20"/>
        </w:rPr>
        <w:t xml:space="preserve"> vozidla jako pracovního stroje</w:t>
      </w:r>
    </w:p>
    <w:p w14:paraId="1794571F" w14:textId="77777777" w:rsidR="006B6EE6" w:rsidRDefault="006B6EE6" w:rsidP="00D80E8A">
      <w:pPr>
        <w:spacing w:line="240" w:lineRule="auto"/>
        <w:rPr>
          <w:rFonts w:ascii="Arial" w:hAnsi="Arial" w:cs="Arial"/>
          <w:sz w:val="20"/>
          <w:szCs w:val="20"/>
        </w:rPr>
      </w:pPr>
      <w:r w:rsidRPr="002E6255">
        <w:rPr>
          <w:rFonts w:ascii="Arial" w:eastAsia="Calibri" w:hAnsi="Arial" w:cs="Arial"/>
          <w:sz w:val="20"/>
          <w:szCs w:val="20"/>
          <w:lang w:eastAsia="en-US"/>
        </w:rPr>
        <w:t>Pojištění se vztahuje i na případy činnosti pojištěného vozidla jako pracovního stroje, přičemž se v případě takto způsobené škody pojišťovna zavazuje poskytnout pojistné plnění až do limitu pojistného plnění ve výši 500.000 Kč. Limit pojistného plnění uvedený v předchozí větě platí kumulativně pro všechny typy škod uvedených v § 6 zákona č. 168/1999 Sb. Pojištění se však nevztahuje na případy, kdy je škoda způsobena v souvislosti s opravou nebo údržbou pojištěného vozidla. Bez spoluúčasti.</w:t>
      </w:r>
    </w:p>
    <w:p w14:paraId="30DEF40A" w14:textId="77777777" w:rsidR="00C93D01" w:rsidRPr="004D74DA" w:rsidRDefault="00C93D01" w:rsidP="002E6255">
      <w:pPr>
        <w:spacing w:line="240" w:lineRule="auto"/>
        <w:rPr>
          <w:rFonts w:ascii="Arial" w:hAnsi="Arial" w:cs="Arial"/>
          <w:sz w:val="20"/>
          <w:szCs w:val="20"/>
        </w:rPr>
      </w:pPr>
    </w:p>
    <w:p w14:paraId="7444EAD0" w14:textId="77777777" w:rsidR="00C93D01" w:rsidRPr="002E6255" w:rsidRDefault="006B6EE6" w:rsidP="002E6255">
      <w:pPr>
        <w:pStyle w:val="Odstavecseseznamem"/>
        <w:numPr>
          <w:ilvl w:val="0"/>
          <w:numId w:val="22"/>
        </w:numPr>
        <w:ind w:left="284" w:hanging="284"/>
        <w:rPr>
          <w:rFonts w:ascii="Arial" w:hAnsi="Arial" w:cs="Arial"/>
          <w:sz w:val="20"/>
          <w:szCs w:val="20"/>
        </w:rPr>
      </w:pPr>
      <w:r w:rsidRPr="002E6255">
        <w:rPr>
          <w:rFonts w:ascii="Arial" w:hAnsi="Arial" w:cs="Arial"/>
          <w:b/>
          <w:sz w:val="20"/>
          <w:szCs w:val="20"/>
        </w:rPr>
        <w:t>Pojištění zavazadel</w:t>
      </w:r>
    </w:p>
    <w:p w14:paraId="12F11CD6" w14:textId="77777777" w:rsidR="006B6EE6" w:rsidRDefault="006B6EE6" w:rsidP="002E6255">
      <w:pPr>
        <w:spacing w:line="240" w:lineRule="auto"/>
        <w:rPr>
          <w:rFonts w:ascii="Arial" w:hAnsi="Arial" w:cs="Arial"/>
          <w:sz w:val="20"/>
          <w:szCs w:val="20"/>
        </w:rPr>
      </w:pPr>
      <w:r w:rsidRPr="002E6255">
        <w:rPr>
          <w:rFonts w:ascii="Arial" w:eastAsia="Calibri" w:hAnsi="Arial" w:cs="Arial"/>
          <w:sz w:val="20"/>
          <w:szCs w:val="20"/>
          <w:lang w:eastAsia="en-US"/>
        </w:rPr>
        <w:t>Pojištění se vztahuje i na případy poškození nebo zničení zavazadel vozidlem cestujících osob umístěných v nákladovém prostoru určeném na převoz zavazadel, a to až do limitu pojistného plnění ve výši 500.000 Kč. Bez spoluúčasti.</w:t>
      </w:r>
    </w:p>
    <w:p w14:paraId="46EBE72D" w14:textId="77777777" w:rsidR="00C93D01" w:rsidRPr="002E6255" w:rsidRDefault="00C93D01" w:rsidP="002E6255">
      <w:pPr>
        <w:spacing w:line="240" w:lineRule="auto"/>
        <w:rPr>
          <w:rFonts w:ascii="Arial" w:hAnsi="Arial" w:cs="Arial"/>
          <w:sz w:val="20"/>
          <w:szCs w:val="20"/>
        </w:rPr>
      </w:pPr>
    </w:p>
    <w:p w14:paraId="63109458" w14:textId="77777777" w:rsidR="00C93D01" w:rsidRDefault="004D74DA" w:rsidP="002E6255">
      <w:pPr>
        <w:pStyle w:val="Odstavecseseznamem"/>
        <w:numPr>
          <w:ilvl w:val="0"/>
          <w:numId w:val="22"/>
        </w:numPr>
        <w:tabs>
          <w:tab w:val="left" w:pos="5040"/>
        </w:tabs>
        <w:ind w:left="284" w:hanging="284"/>
        <w:rPr>
          <w:rFonts w:ascii="Arial" w:hAnsi="Arial" w:cs="Arial"/>
          <w:b/>
          <w:sz w:val="20"/>
          <w:szCs w:val="20"/>
        </w:rPr>
      </w:pPr>
      <w:r>
        <w:rPr>
          <w:rFonts w:ascii="Arial" w:hAnsi="Arial" w:cs="Arial"/>
          <w:b/>
          <w:sz w:val="20"/>
          <w:szCs w:val="20"/>
        </w:rPr>
        <w:t>Pojištění osobních věcí řidiče</w:t>
      </w:r>
    </w:p>
    <w:p w14:paraId="0E17DC7F" w14:textId="77777777" w:rsidR="006B6EE6" w:rsidRPr="002E6255" w:rsidRDefault="006B6EE6" w:rsidP="002E6255">
      <w:pPr>
        <w:tabs>
          <w:tab w:val="left" w:pos="5040"/>
        </w:tabs>
        <w:spacing w:line="240" w:lineRule="auto"/>
        <w:rPr>
          <w:rFonts w:ascii="Arial" w:eastAsia="Calibri" w:hAnsi="Arial" w:cs="Arial"/>
          <w:b/>
          <w:sz w:val="20"/>
          <w:szCs w:val="20"/>
        </w:rPr>
      </w:pPr>
      <w:r w:rsidRPr="002E6255">
        <w:rPr>
          <w:rFonts w:ascii="Arial" w:eastAsia="Calibri" w:hAnsi="Arial" w:cs="Arial"/>
          <w:sz w:val="20"/>
          <w:szCs w:val="20"/>
        </w:rPr>
        <w:t>Pojišťovna poskytne pojistné plnění až do limitu pojistného plnění ve výši 100.000 Kč v případě, kdy dojde k poškození nebo ztrátě osobních věcí řidiče v souvislosti s havárií pojištěného vozidla. Osobními věcmi řidiče se pro účely tohoto ustanovení rozumí osobní věci, jež má řidič pojištěného vozidla s sebou v souvislosti s výkonem jeho povolání s přihlédnutím k délce a účelu cesty. Neplatí pro motocykly. Bez spoluúčasti.</w:t>
      </w:r>
    </w:p>
    <w:p w14:paraId="4472B686" w14:textId="77777777" w:rsidR="00BA256F" w:rsidRPr="002E6255" w:rsidRDefault="00BA256F" w:rsidP="005E73A4">
      <w:pPr>
        <w:pStyle w:val="Odstavecseseznamem"/>
        <w:spacing w:before="120"/>
        <w:ind w:left="0"/>
        <w:jc w:val="both"/>
        <w:rPr>
          <w:rFonts w:ascii="Arial" w:hAnsi="Arial" w:cs="Arial"/>
          <w:sz w:val="20"/>
          <w:szCs w:val="20"/>
        </w:rPr>
      </w:pPr>
    </w:p>
    <w:p w14:paraId="7FD109F8" w14:textId="77777777" w:rsidR="005E73A4" w:rsidRDefault="002A0FDC" w:rsidP="002E6255">
      <w:pPr>
        <w:pStyle w:val="Odstavecseseznamem"/>
        <w:numPr>
          <w:ilvl w:val="0"/>
          <w:numId w:val="12"/>
        </w:numPr>
        <w:ind w:left="284" w:hanging="284"/>
        <w:rPr>
          <w:rFonts w:ascii="Arial" w:hAnsi="Arial" w:cs="Arial"/>
          <w:b/>
          <w:sz w:val="20"/>
          <w:szCs w:val="20"/>
        </w:rPr>
      </w:pPr>
      <w:r w:rsidRPr="002E6255">
        <w:rPr>
          <w:rFonts w:ascii="Arial" w:hAnsi="Arial" w:cs="Arial"/>
          <w:b/>
          <w:sz w:val="20"/>
          <w:szCs w:val="20"/>
        </w:rPr>
        <w:t>Výluky a speciální ujednání</w:t>
      </w:r>
    </w:p>
    <w:p w14:paraId="11786063" w14:textId="77777777" w:rsidR="006205F7" w:rsidRPr="002E6255" w:rsidRDefault="006205F7" w:rsidP="002E6255">
      <w:pPr>
        <w:pStyle w:val="Odstavecseseznamem"/>
        <w:ind w:left="284"/>
        <w:rPr>
          <w:rFonts w:ascii="Arial" w:hAnsi="Arial" w:cs="Arial"/>
          <w:b/>
          <w:sz w:val="20"/>
          <w:szCs w:val="20"/>
        </w:rPr>
      </w:pPr>
    </w:p>
    <w:p w14:paraId="52168204" w14:textId="77777777" w:rsidR="00D23EE0" w:rsidRDefault="005E73A4" w:rsidP="00D80E8A">
      <w:pPr>
        <w:pStyle w:val="Odstavecseseznamem"/>
        <w:numPr>
          <w:ilvl w:val="0"/>
          <w:numId w:val="26"/>
        </w:numPr>
        <w:ind w:left="284" w:hanging="284"/>
        <w:jc w:val="both"/>
        <w:rPr>
          <w:rFonts w:ascii="Arial" w:hAnsi="Arial" w:cs="Arial"/>
          <w:sz w:val="20"/>
          <w:szCs w:val="20"/>
        </w:rPr>
      </w:pPr>
      <w:r w:rsidRPr="002E6255">
        <w:rPr>
          <w:rFonts w:ascii="Arial" w:hAnsi="Arial" w:cs="Arial"/>
          <w:sz w:val="20"/>
          <w:szCs w:val="20"/>
        </w:rPr>
        <w:t xml:space="preserve">Vozidla jsou pojištěna od okamžiku nabytí vlastnictví – hlášení </w:t>
      </w:r>
      <w:r w:rsidR="006B6EE6" w:rsidRPr="002E6255">
        <w:rPr>
          <w:rFonts w:ascii="Arial" w:hAnsi="Arial" w:cs="Arial"/>
          <w:sz w:val="20"/>
          <w:szCs w:val="20"/>
        </w:rPr>
        <w:t xml:space="preserve">pojistiteli nejpozději </w:t>
      </w:r>
      <w:r w:rsidRPr="002E6255">
        <w:rPr>
          <w:rFonts w:ascii="Arial" w:hAnsi="Arial" w:cs="Arial"/>
          <w:sz w:val="20"/>
          <w:szCs w:val="20"/>
        </w:rPr>
        <w:t>do 15 dnů od převzetí.</w:t>
      </w:r>
    </w:p>
    <w:p w14:paraId="4486BB4E" w14:textId="77777777" w:rsidR="00D23EE0" w:rsidRPr="002E6255" w:rsidRDefault="006B6EE6" w:rsidP="00D80E8A">
      <w:pPr>
        <w:pStyle w:val="Odstavecseseznamem"/>
        <w:numPr>
          <w:ilvl w:val="0"/>
          <w:numId w:val="26"/>
        </w:numPr>
        <w:ind w:left="284" w:hanging="284"/>
        <w:jc w:val="both"/>
        <w:rPr>
          <w:rFonts w:ascii="Arial" w:hAnsi="Arial" w:cs="Arial"/>
          <w:sz w:val="20"/>
          <w:szCs w:val="20"/>
        </w:rPr>
      </w:pPr>
      <w:r w:rsidRPr="002E6255">
        <w:rPr>
          <w:rFonts w:ascii="Arial" w:eastAsia="Times New Roman" w:hAnsi="Arial" w:cs="Arial"/>
          <w:sz w:val="20"/>
          <w:szCs w:val="20"/>
          <w:lang w:eastAsia="cs-CZ"/>
        </w:rPr>
        <w:t>Zánik pojištěných vozidel – hlášení pojistiteli nejpozději do 15 dnů.</w:t>
      </w:r>
    </w:p>
    <w:p w14:paraId="7FCC6FBB" w14:textId="77777777" w:rsidR="00D23EE0" w:rsidRPr="002E6255" w:rsidRDefault="006B6EE6" w:rsidP="00D80E8A">
      <w:pPr>
        <w:pStyle w:val="Odstavecseseznamem"/>
        <w:numPr>
          <w:ilvl w:val="0"/>
          <w:numId w:val="26"/>
        </w:numPr>
        <w:ind w:left="284" w:hanging="284"/>
        <w:jc w:val="both"/>
        <w:rPr>
          <w:rFonts w:ascii="Arial" w:hAnsi="Arial" w:cs="Arial"/>
          <w:sz w:val="20"/>
          <w:szCs w:val="20"/>
        </w:rPr>
      </w:pPr>
      <w:r w:rsidRPr="002E6255">
        <w:rPr>
          <w:rFonts w:ascii="Arial" w:eastAsia="Times New Roman" w:hAnsi="Arial" w:cs="Arial"/>
          <w:sz w:val="20"/>
          <w:szCs w:val="20"/>
          <w:lang w:eastAsia="cs-CZ"/>
        </w:rPr>
        <w:t>Za pozemní komunikace se považuje silniční a dálniční síť (dálnice, silnice I., II. a III. třídy) včetně objektů (mosty, podjezdy, železniční přejezdy, tunely, brody) nacházejících se na silniční a dálniční síti či v její blízkosti. Za pozemní komunikace se považují rovněž účelové a lesní cesty včetně komunikací vytvořených pojistníkem. Pojištění se vztahuje i na jízdy v</w:t>
      </w:r>
      <w:r w:rsidR="00D23EE0">
        <w:rPr>
          <w:rFonts w:ascii="Arial" w:eastAsia="Times New Roman" w:hAnsi="Arial" w:cs="Arial"/>
          <w:sz w:val="20"/>
          <w:szCs w:val="20"/>
          <w:lang w:eastAsia="cs-CZ"/>
        </w:rPr>
        <w:t> </w:t>
      </w:r>
      <w:r w:rsidRPr="002E6255">
        <w:rPr>
          <w:rFonts w:ascii="Arial" w:eastAsia="Times New Roman" w:hAnsi="Arial" w:cs="Arial"/>
          <w:sz w:val="20"/>
          <w:szCs w:val="20"/>
          <w:lang w:eastAsia="cs-CZ"/>
        </w:rPr>
        <w:t>terénu</w:t>
      </w:r>
      <w:r w:rsidR="00D23EE0">
        <w:rPr>
          <w:rFonts w:ascii="Arial" w:eastAsia="Times New Roman" w:hAnsi="Arial" w:cs="Arial"/>
          <w:sz w:val="20"/>
          <w:szCs w:val="20"/>
          <w:lang w:eastAsia="cs-CZ"/>
        </w:rPr>
        <w:t>.</w:t>
      </w:r>
    </w:p>
    <w:p w14:paraId="60E75550" w14:textId="77777777" w:rsidR="00D23EE0" w:rsidRDefault="005E73A4" w:rsidP="00D80E8A">
      <w:pPr>
        <w:pStyle w:val="Odstavecseseznamem"/>
        <w:numPr>
          <w:ilvl w:val="0"/>
          <w:numId w:val="26"/>
        </w:numPr>
        <w:ind w:left="284" w:hanging="284"/>
        <w:jc w:val="both"/>
        <w:rPr>
          <w:rFonts w:ascii="Arial" w:hAnsi="Arial" w:cs="Arial"/>
          <w:sz w:val="20"/>
          <w:szCs w:val="20"/>
        </w:rPr>
      </w:pPr>
      <w:r w:rsidRPr="002E6255">
        <w:rPr>
          <w:rFonts w:ascii="Arial" w:eastAsia="Times New Roman" w:hAnsi="Arial" w:cs="Arial"/>
          <w:sz w:val="20"/>
          <w:szCs w:val="20"/>
          <w:lang w:eastAsia="cs-CZ"/>
        </w:rPr>
        <w:t xml:space="preserve">Pro každé nové vozidlo, které bude zařazeno do pojištění v průběhu pojistného období, bude použita stejná sazba pojistného, která byla pro danou kategorii vozidel nabídnuta pojistitelem v době uzavření pojistné smlouvy. Tato sazba pojistného bude pro danou kategorii vozidel zachována po celou dobu platnosti pojistné smlouvy. </w:t>
      </w:r>
    </w:p>
    <w:p w14:paraId="25C0CBFC" w14:textId="77777777" w:rsidR="00D23EE0" w:rsidRDefault="006B6EE6" w:rsidP="00D80E8A">
      <w:pPr>
        <w:pStyle w:val="Odstavecseseznamem"/>
        <w:numPr>
          <w:ilvl w:val="0"/>
          <w:numId w:val="26"/>
        </w:numPr>
        <w:ind w:left="284" w:hanging="284"/>
        <w:jc w:val="both"/>
        <w:rPr>
          <w:rFonts w:ascii="Arial" w:hAnsi="Arial" w:cs="Arial"/>
          <w:sz w:val="20"/>
          <w:szCs w:val="20"/>
        </w:rPr>
      </w:pPr>
      <w:r w:rsidRPr="002E6255">
        <w:rPr>
          <w:rFonts w:ascii="Arial" w:eastAsia="Times New Roman" w:hAnsi="Arial" w:cs="Arial"/>
          <w:sz w:val="20"/>
          <w:szCs w:val="20"/>
          <w:lang w:eastAsia="cs-CZ"/>
        </w:rPr>
        <w:t>Pojistník je oprávněn 1 krát za 2 roky přepočítat pojistné částky vozidel a požádat pojistitele o přepočet výše pojistného formou ukončení všech stávajících a sjednáním nových pojištění k vozidlům.</w:t>
      </w:r>
    </w:p>
    <w:p w14:paraId="705E47EE" w14:textId="77777777" w:rsidR="00D23EE0" w:rsidRDefault="008E3C63" w:rsidP="00D80E8A">
      <w:pPr>
        <w:pStyle w:val="Odstavecseseznamem"/>
        <w:numPr>
          <w:ilvl w:val="0"/>
          <w:numId w:val="26"/>
        </w:numPr>
        <w:ind w:left="284" w:hanging="284"/>
        <w:jc w:val="both"/>
        <w:rPr>
          <w:rFonts w:ascii="Arial" w:hAnsi="Arial" w:cs="Arial"/>
          <w:sz w:val="20"/>
          <w:szCs w:val="20"/>
        </w:rPr>
      </w:pPr>
      <w:r w:rsidRPr="002E6255">
        <w:rPr>
          <w:rFonts w:ascii="Arial" w:eastAsia="Times New Roman" w:hAnsi="Arial" w:cs="Arial"/>
          <w:sz w:val="20"/>
          <w:szCs w:val="20"/>
          <w:lang w:eastAsia="cs-CZ"/>
        </w:rPr>
        <w:t>U vozidel ADR nebude uplatňována přirážka k pojistnému po celou dobu platnosti pojistné smlouvy.</w:t>
      </w:r>
    </w:p>
    <w:p w14:paraId="6BFA56F1" w14:textId="77777777" w:rsidR="00D23EE0" w:rsidRDefault="005E73A4" w:rsidP="00D80E8A">
      <w:pPr>
        <w:pStyle w:val="Odstavecseseznamem"/>
        <w:numPr>
          <w:ilvl w:val="0"/>
          <w:numId w:val="26"/>
        </w:numPr>
        <w:ind w:left="284" w:hanging="284"/>
        <w:jc w:val="both"/>
        <w:rPr>
          <w:rFonts w:ascii="Arial" w:hAnsi="Arial" w:cs="Arial"/>
          <w:sz w:val="20"/>
          <w:szCs w:val="20"/>
        </w:rPr>
      </w:pPr>
      <w:r w:rsidRPr="002E6255">
        <w:rPr>
          <w:rFonts w:ascii="Arial" w:eastAsia="Times New Roman" w:hAnsi="Arial" w:cs="Arial"/>
          <w:sz w:val="20"/>
          <w:szCs w:val="20"/>
          <w:lang w:eastAsia="cs-CZ"/>
        </w:rPr>
        <w:t>Pojistitel poskytne pojistné plnění i v případě požáru definovaného jako oheň vzniklý mimo vozidlo působením přírodních sil nebo jednáním osob, který se rozšířil do prostoru, kde se vozidlo nacházelo a zapříčinil jeho poškození či zničení, oheň způsobený zkratem nebo hořením elektrického zařízení, oheň vzniklý ve vozidle, způsobený technickou závadou nebo jednáním třetích osob. Pojištění se vztahuje i na škody způsobené průvodními jevy požáru tj. působením tepla, zplodin hoření vznikajících při požáru a dále působením hasební látky použité při zásahu proti požáru.</w:t>
      </w:r>
    </w:p>
    <w:p w14:paraId="7DE64186" w14:textId="77777777" w:rsidR="00D23EE0" w:rsidRDefault="006B6EE6" w:rsidP="00D80E8A">
      <w:pPr>
        <w:pStyle w:val="Odstavecseseznamem"/>
        <w:numPr>
          <w:ilvl w:val="0"/>
          <w:numId w:val="26"/>
        </w:numPr>
        <w:ind w:left="284" w:hanging="284"/>
        <w:jc w:val="both"/>
        <w:rPr>
          <w:rFonts w:ascii="Arial" w:hAnsi="Arial" w:cs="Arial"/>
          <w:sz w:val="20"/>
          <w:szCs w:val="20"/>
        </w:rPr>
      </w:pPr>
      <w:r w:rsidRPr="002E6255">
        <w:rPr>
          <w:rFonts w:ascii="Arial" w:eastAsia="Times New Roman" w:hAnsi="Arial" w:cs="Arial"/>
          <w:sz w:val="20"/>
          <w:szCs w:val="20"/>
          <w:lang w:eastAsia="cs-CZ"/>
        </w:rPr>
        <w:t>Pojistitel neuplatní právo snížit pojistné plnění z důvodu podpojištění ve smyslu ustanovení pojistných podmínek v případě, že v době vzniku pojistné události je pojistná částka vozidla uvedená ve výkazu pojištěných vozidel nižší než pojistná hodnota.</w:t>
      </w:r>
    </w:p>
    <w:p w14:paraId="056CBA21" w14:textId="77777777" w:rsidR="00D23EE0" w:rsidRPr="002E6255" w:rsidRDefault="006B6EE6" w:rsidP="00D80E8A">
      <w:pPr>
        <w:pStyle w:val="Odstavecseseznamem"/>
        <w:numPr>
          <w:ilvl w:val="0"/>
          <w:numId w:val="26"/>
        </w:numPr>
        <w:ind w:left="284" w:hanging="284"/>
        <w:jc w:val="both"/>
        <w:rPr>
          <w:rFonts w:ascii="Arial" w:eastAsia="Times New Roman" w:hAnsi="Arial" w:cs="Arial"/>
          <w:sz w:val="20"/>
          <w:szCs w:val="20"/>
          <w:lang w:eastAsia="cs-CZ"/>
        </w:rPr>
      </w:pPr>
      <w:r w:rsidRPr="002E6255">
        <w:rPr>
          <w:rFonts w:ascii="Arial" w:eastAsia="Times New Roman" w:hAnsi="Arial" w:cs="Arial"/>
          <w:sz w:val="20"/>
          <w:szCs w:val="20"/>
          <w:lang w:eastAsia="cs-CZ"/>
        </w:rPr>
        <w:t>Pojistitel</w:t>
      </w:r>
      <w:r w:rsidR="005E73A4" w:rsidRPr="002E6255">
        <w:rPr>
          <w:rFonts w:ascii="Arial" w:eastAsia="Times New Roman" w:hAnsi="Arial" w:cs="Arial"/>
          <w:sz w:val="20"/>
          <w:szCs w:val="20"/>
          <w:lang w:eastAsia="cs-CZ"/>
        </w:rPr>
        <w:t xml:space="preserve"> neuplatní právo krácení pojistného plnění v případě nevyužít</w:t>
      </w:r>
      <w:r w:rsidR="00956B9F" w:rsidRPr="002E6255">
        <w:rPr>
          <w:rFonts w:ascii="Arial" w:eastAsia="Times New Roman" w:hAnsi="Arial" w:cs="Arial"/>
          <w:sz w:val="20"/>
          <w:szCs w:val="20"/>
          <w:lang w:eastAsia="cs-CZ"/>
        </w:rPr>
        <w:t xml:space="preserve">i smluvního servisu pojistitele případně </w:t>
      </w:r>
      <w:proofErr w:type="spellStart"/>
      <w:r w:rsidR="00956B9F" w:rsidRPr="002E6255">
        <w:rPr>
          <w:rFonts w:ascii="Arial" w:eastAsia="Times New Roman" w:hAnsi="Arial" w:cs="Arial"/>
          <w:sz w:val="20"/>
          <w:szCs w:val="20"/>
          <w:lang w:eastAsia="cs-CZ"/>
        </w:rPr>
        <w:t>zasmluv</w:t>
      </w:r>
      <w:r w:rsidRPr="002E6255">
        <w:rPr>
          <w:rFonts w:ascii="Arial" w:eastAsia="Times New Roman" w:hAnsi="Arial" w:cs="Arial"/>
          <w:sz w:val="20"/>
          <w:szCs w:val="20"/>
          <w:lang w:eastAsia="cs-CZ"/>
        </w:rPr>
        <w:t>ní</w:t>
      </w:r>
      <w:proofErr w:type="spellEnd"/>
      <w:r w:rsidRPr="002E6255">
        <w:rPr>
          <w:rFonts w:ascii="Arial" w:eastAsia="Times New Roman" w:hAnsi="Arial" w:cs="Arial"/>
          <w:sz w:val="20"/>
          <w:szCs w:val="20"/>
          <w:lang w:eastAsia="cs-CZ"/>
        </w:rPr>
        <w:t xml:space="preserve"> servis</w:t>
      </w:r>
      <w:r w:rsidR="00956B9F" w:rsidRPr="002E6255">
        <w:rPr>
          <w:rFonts w:ascii="Arial" w:eastAsia="Times New Roman" w:hAnsi="Arial" w:cs="Arial"/>
          <w:sz w:val="20"/>
          <w:szCs w:val="20"/>
          <w:lang w:eastAsia="cs-CZ"/>
        </w:rPr>
        <w:t xml:space="preserve"> zadavatele.</w:t>
      </w:r>
    </w:p>
    <w:p w14:paraId="372D2EA0" w14:textId="77777777" w:rsidR="00D23EE0" w:rsidRPr="00B0244D" w:rsidRDefault="006B6EE6" w:rsidP="00D80E8A">
      <w:pPr>
        <w:pStyle w:val="Odstavecseseznamem"/>
        <w:numPr>
          <w:ilvl w:val="0"/>
          <w:numId w:val="26"/>
        </w:numPr>
        <w:ind w:left="284" w:hanging="284"/>
        <w:jc w:val="both"/>
        <w:rPr>
          <w:rFonts w:ascii="Arial" w:eastAsia="Times New Roman" w:hAnsi="Arial" w:cs="Arial"/>
          <w:sz w:val="20"/>
          <w:szCs w:val="20"/>
          <w:lang w:eastAsia="cs-CZ"/>
        </w:rPr>
      </w:pPr>
      <w:r w:rsidRPr="002E6255">
        <w:rPr>
          <w:rFonts w:ascii="Arial" w:eastAsia="Times New Roman" w:hAnsi="Arial" w:cs="Arial"/>
          <w:sz w:val="20"/>
          <w:szCs w:val="20"/>
          <w:lang w:eastAsia="cs-CZ"/>
        </w:rPr>
        <w:t>Pojistitel zabezpečí prohlídku poškozeného vozidla likvidátorem pojistných událostí nejpozději do dvou pracovních dnů od nahlášení škodní události pojistiteli.</w:t>
      </w:r>
    </w:p>
    <w:p w14:paraId="5B627129" w14:textId="07287AC4" w:rsidR="00D23EE0" w:rsidRDefault="00D23EE0" w:rsidP="00D80E8A">
      <w:pPr>
        <w:pStyle w:val="Odstavecseseznamem"/>
        <w:numPr>
          <w:ilvl w:val="0"/>
          <w:numId w:val="26"/>
        </w:numPr>
        <w:ind w:left="284" w:hanging="284"/>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Pojistitel neuplatní právo na krácení pojistného plnění v případě nesplnění podmínky kontaktování PČR u škod na </w:t>
      </w:r>
      <w:r w:rsidR="00E96F8E">
        <w:rPr>
          <w:rFonts w:ascii="Arial" w:eastAsia="Times New Roman" w:hAnsi="Arial" w:cs="Arial"/>
          <w:sz w:val="20"/>
          <w:szCs w:val="20"/>
          <w:lang w:eastAsia="cs-CZ"/>
        </w:rPr>
        <w:t>vozidlech</w:t>
      </w:r>
      <w:r>
        <w:rPr>
          <w:rFonts w:ascii="Arial" w:eastAsia="Times New Roman" w:hAnsi="Arial" w:cs="Arial"/>
          <w:sz w:val="20"/>
          <w:szCs w:val="20"/>
          <w:lang w:eastAsia="cs-CZ"/>
        </w:rPr>
        <w:t xml:space="preserve"> způsobených střetem se zvěří. </w:t>
      </w:r>
    </w:p>
    <w:p w14:paraId="36FA5DC9" w14:textId="02747DAC" w:rsidR="000732F6" w:rsidRPr="004B7CC8" w:rsidRDefault="000732F6" w:rsidP="00D80E8A">
      <w:pPr>
        <w:pStyle w:val="Odstavecseseznamem"/>
        <w:numPr>
          <w:ilvl w:val="0"/>
          <w:numId w:val="26"/>
        </w:numPr>
        <w:ind w:left="284" w:hanging="284"/>
        <w:jc w:val="both"/>
        <w:rPr>
          <w:rFonts w:ascii="Arial" w:eastAsia="Times New Roman" w:hAnsi="Arial" w:cs="Arial"/>
          <w:sz w:val="20"/>
          <w:szCs w:val="20"/>
          <w:lang w:eastAsia="cs-CZ"/>
        </w:rPr>
      </w:pPr>
      <w:r w:rsidRPr="004B7CC8">
        <w:rPr>
          <w:rFonts w:ascii="Arial" w:eastAsia="Times New Roman" w:hAnsi="Arial" w:cs="Arial"/>
          <w:sz w:val="20"/>
          <w:szCs w:val="20"/>
          <w:lang w:eastAsia="cs-CZ"/>
        </w:rPr>
        <w:t xml:space="preserve">Pojistitel poskytne pojistné plnění i v případě, kdy </w:t>
      </w:r>
      <w:r w:rsidR="003720B4" w:rsidRPr="004B7CC8">
        <w:rPr>
          <w:rFonts w:ascii="Arial" w:eastAsia="Times New Roman" w:hAnsi="Arial" w:cs="Arial"/>
          <w:sz w:val="20"/>
          <w:szCs w:val="20"/>
          <w:lang w:eastAsia="cs-CZ"/>
        </w:rPr>
        <w:t xml:space="preserve">k pojistné </w:t>
      </w:r>
      <w:r w:rsidR="0045775E" w:rsidRPr="004B7CC8">
        <w:rPr>
          <w:rFonts w:ascii="Arial" w:eastAsia="Times New Roman" w:hAnsi="Arial" w:cs="Arial"/>
          <w:sz w:val="20"/>
          <w:szCs w:val="20"/>
          <w:lang w:eastAsia="cs-CZ"/>
        </w:rPr>
        <w:t xml:space="preserve">události dojde mezi vozidly, která jsou </w:t>
      </w:r>
      <w:r w:rsidR="004B7CC8" w:rsidRPr="004B7CC8">
        <w:rPr>
          <w:rFonts w:ascii="Arial" w:eastAsia="Times New Roman" w:hAnsi="Arial" w:cs="Arial"/>
          <w:sz w:val="20"/>
          <w:szCs w:val="20"/>
          <w:lang w:eastAsia="cs-CZ"/>
        </w:rPr>
        <w:t xml:space="preserve">ve vlastnictví stejného pojistníka nebo vlastníka a jsou </w:t>
      </w:r>
      <w:r w:rsidR="0045775E" w:rsidRPr="004B7CC8">
        <w:rPr>
          <w:rFonts w:ascii="Arial" w:eastAsia="Times New Roman" w:hAnsi="Arial" w:cs="Arial"/>
          <w:sz w:val="20"/>
          <w:szCs w:val="20"/>
          <w:lang w:eastAsia="cs-CZ"/>
        </w:rPr>
        <w:t xml:space="preserve">pojištěna v rámci jedné pojistné smlouvy. </w:t>
      </w:r>
    </w:p>
    <w:p w14:paraId="6A9C2535" w14:textId="77777777" w:rsidR="002C3120" w:rsidRPr="002E6255" w:rsidRDefault="002C3120" w:rsidP="00D80E8A">
      <w:pPr>
        <w:pStyle w:val="Odstavecseseznamem"/>
        <w:numPr>
          <w:ilvl w:val="0"/>
          <w:numId w:val="26"/>
        </w:numPr>
        <w:ind w:left="284" w:hanging="284"/>
        <w:jc w:val="both"/>
        <w:rPr>
          <w:rFonts w:ascii="Arial" w:eastAsia="Times New Roman" w:hAnsi="Arial" w:cs="Arial"/>
          <w:sz w:val="20"/>
          <w:szCs w:val="20"/>
          <w:lang w:eastAsia="cs-CZ"/>
        </w:rPr>
      </w:pPr>
      <w:r w:rsidRPr="002E6255">
        <w:rPr>
          <w:rFonts w:ascii="Arial" w:eastAsia="Times New Roman" w:hAnsi="Arial" w:cs="Arial"/>
          <w:sz w:val="20"/>
          <w:szCs w:val="20"/>
          <w:lang w:eastAsia="cs-CZ"/>
        </w:rPr>
        <w:t xml:space="preserve">Pojistitel se zavazuje vyplatit bonifikaci z pojištění odpovědnosti za újmu způsobenou provozem vozidla, základního havarijního pojištění a doplňkového pojištění při splnění dále stanovených podmínek. Vždy po uplynutí pojistného roku (pojistným rokem se pro tyto účely rozumí pravidelně se opakující období jednoho roku, které počne plynout ode dne účinnosti pojistné smlouvy) pojistitel </w:t>
      </w:r>
      <w:r w:rsidRPr="002E6255">
        <w:rPr>
          <w:rFonts w:ascii="Arial" w:eastAsia="Times New Roman" w:hAnsi="Arial" w:cs="Arial"/>
          <w:sz w:val="20"/>
          <w:szCs w:val="20"/>
          <w:lang w:eastAsia="cs-CZ"/>
        </w:rPr>
        <w:lastRenderedPageBreak/>
        <w:t>vyúčtuje bonifikaci za uplynulý pojistný rok dále uvedeným způsobem. Bonifikace závisí na výši zaslouženého pojistného za uplynulý pojistný rok, na škodném průběhu pojištění odpovědnosti za újmu způsobenou provozem vozidla, základního havarijního pojištění a doplňkového pojištění za uplynulý pojistný rok s přihlédnutím k celkovému škodnému průběhu všech pojištění sjednaných na základě pojistné smlouvy a k celkovému škodnému průběhu všech pojištění sjednaných v rámci všech skupinových pojistných smluv pojistníka za uplynulý pojistný rok.</w:t>
      </w:r>
    </w:p>
    <w:p w14:paraId="034C5100" w14:textId="77777777" w:rsidR="002C3120" w:rsidRPr="005C08DC" w:rsidRDefault="002C3120" w:rsidP="002C3120">
      <w:pPr>
        <w:pStyle w:val="Odstavecseseznamem"/>
        <w:ind w:left="357"/>
        <w:rPr>
          <w:rFonts w:ascii="Arial" w:hAnsi="Arial" w:cs="Arial"/>
          <w:sz w:val="20"/>
          <w:szCs w:val="20"/>
        </w:rPr>
      </w:pPr>
    </w:p>
    <w:tbl>
      <w:tblPr>
        <w:tblpPr w:leftFromText="141" w:rightFromText="141" w:vertAnchor="text" w:horzAnchor="margin" w:tblpXSpec="center" w:tblpY="5"/>
        <w:tblW w:w="3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0"/>
        <w:gridCol w:w="1360"/>
      </w:tblGrid>
      <w:tr w:rsidR="002C3120" w:rsidRPr="005C08DC" w14:paraId="3590A7A5" w14:textId="77777777" w:rsidTr="00C21D7D">
        <w:trPr>
          <w:trHeight w:val="300"/>
        </w:trPr>
        <w:tc>
          <w:tcPr>
            <w:tcW w:w="1780" w:type="dxa"/>
            <w:shd w:val="clear" w:color="auto" w:fill="auto"/>
            <w:noWrap/>
            <w:vAlign w:val="bottom"/>
            <w:hideMark/>
          </w:tcPr>
          <w:p w14:paraId="21CC3250" w14:textId="77777777" w:rsidR="002C3120" w:rsidRPr="002E6255" w:rsidRDefault="002C3120" w:rsidP="00C21D7D">
            <w:pPr>
              <w:rPr>
                <w:rFonts w:ascii="Arial" w:hAnsi="Arial" w:cs="Arial"/>
                <w:sz w:val="20"/>
                <w:szCs w:val="20"/>
              </w:rPr>
            </w:pPr>
            <w:r w:rsidRPr="002E6255">
              <w:rPr>
                <w:rFonts w:ascii="Arial" w:hAnsi="Arial" w:cs="Arial"/>
                <w:sz w:val="20"/>
                <w:szCs w:val="20"/>
              </w:rPr>
              <w:t>Škodný průběh</w:t>
            </w:r>
          </w:p>
        </w:tc>
        <w:tc>
          <w:tcPr>
            <w:tcW w:w="1360" w:type="dxa"/>
            <w:shd w:val="clear" w:color="auto" w:fill="auto"/>
            <w:noWrap/>
            <w:vAlign w:val="bottom"/>
            <w:hideMark/>
          </w:tcPr>
          <w:p w14:paraId="31B2DB37" w14:textId="77777777" w:rsidR="002C3120" w:rsidRPr="002E6255" w:rsidRDefault="002C3120" w:rsidP="00C21D7D">
            <w:pPr>
              <w:rPr>
                <w:rFonts w:ascii="Arial" w:hAnsi="Arial" w:cs="Arial"/>
                <w:sz w:val="20"/>
                <w:szCs w:val="20"/>
              </w:rPr>
            </w:pPr>
            <w:r w:rsidRPr="002E6255">
              <w:rPr>
                <w:rFonts w:ascii="Arial" w:hAnsi="Arial" w:cs="Arial"/>
                <w:sz w:val="20"/>
                <w:szCs w:val="20"/>
              </w:rPr>
              <w:t xml:space="preserve">Bonifikace </w:t>
            </w:r>
          </w:p>
        </w:tc>
      </w:tr>
      <w:tr w:rsidR="002C3120" w:rsidRPr="005C08DC" w14:paraId="5FB1FFEE" w14:textId="77777777" w:rsidTr="00C21D7D">
        <w:trPr>
          <w:trHeight w:val="300"/>
        </w:trPr>
        <w:tc>
          <w:tcPr>
            <w:tcW w:w="1780" w:type="dxa"/>
            <w:shd w:val="clear" w:color="auto" w:fill="auto"/>
            <w:noWrap/>
            <w:vAlign w:val="bottom"/>
            <w:hideMark/>
          </w:tcPr>
          <w:p w14:paraId="097C368B" w14:textId="77777777" w:rsidR="002C3120" w:rsidRPr="002E6255" w:rsidRDefault="002C3120" w:rsidP="00C21D7D">
            <w:pPr>
              <w:rPr>
                <w:rFonts w:ascii="Arial" w:hAnsi="Arial" w:cs="Arial"/>
                <w:sz w:val="20"/>
                <w:szCs w:val="20"/>
              </w:rPr>
            </w:pPr>
            <w:r w:rsidRPr="002E6255">
              <w:rPr>
                <w:rFonts w:ascii="Arial" w:hAnsi="Arial" w:cs="Arial"/>
                <w:sz w:val="20"/>
                <w:szCs w:val="20"/>
              </w:rPr>
              <w:t>do 10% včetně</w:t>
            </w:r>
          </w:p>
        </w:tc>
        <w:tc>
          <w:tcPr>
            <w:tcW w:w="1360" w:type="dxa"/>
            <w:shd w:val="clear" w:color="auto" w:fill="auto"/>
            <w:noWrap/>
            <w:vAlign w:val="bottom"/>
            <w:hideMark/>
          </w:tcPr>
          <w:p w14:paraId="7D451E8D" w14:textId="77777777" w:rsidR="002C3120" w:rsidRPr="002E6255" w:rsidRDefault="002C3120" w:rsidP="00C21D7D">
            <w:pPr>
              <w:jc w:val="center"/>
              <w:rPr>
                <w:rFonts w:ascii="Arial" w:hAnsi="Arial" w:cs="Arial"/>
                <w:sz w:val="20"/>
                <w:szCs w:val="20"/>
              </w:rPr>
            </w:pPr>
            <w:r w:rsidRPr="002E6255">
              <w:rPr>
                <w:rFonts w:ascii="Arial" w:hAnsi="Arial" w:cs="Arial"/>
                <w:sz w:val="20"/>
                <w:szCs w:val="20"/>
              </w:rPr>
              <w:t>25%</w:t>
            </w:r>
          </w:p>
        </w:tc>
      </w:tr>
      <w:tr w:rsidR="002C3120" w:rsidRPr="005C08DC" w14:paraId="29C29E58" w14:textId="77777777" w:rsidTr="00C21D7D">
        <w:trPr>
          <w:trHeight w:val="300"/>
        </w:trPr>
        <w:tc>
          <w:tcPr>
            <w:tcW w:w="1780" w:type="dxa"/>
            <w:shd w:val="clear" w:color="auto" w:fill="auto"/>
            <w:noWrap/>
            <w:vAlign w:val="bottom"/>
            <w:hideMark/>
          </w:tcPr>
          <w:p w14:paraId="4AB43F47" w14:textId="77777777" w:rsidR="002C3120" w:rsidRPr="002E6255" w:rsidRDefault="002C3120" w:rsidP="00C21D7D">
            <w:pPr>
              <w:rPr>
                <w:rFonts w:ascii="Arial" w:hAnsi="Arial" w:cs="Arial"/>
                <w:sz w:val="20"/>
                <w:szCs w:val="20"/>
              </w:rPr>
            </w:pPr>
            <w:r w:rsidRPr="002E6255">
              <w:rPr>
                <w:rFonts w:ascii="Arial" w:hAnsi="Arial" w:cs="Arial"/>
                <w:sz w:val="20"/>
                <w:szCs w:val="20"/>
              </w:rPr>
              <w:t>do 20% včetně</w:t>
            </w:r>
          </w:p>
        </w:tc>
        <w:tc>
          <w:tcPr>
            <w:tcW w:w="1360" w:type="dxa"/>
            <w:shd w:val="clear" w:color="auto" w:fill="auto"/>
            <w:noWrap/>
            <w:vAlign w:val="bottom"/>
            <w:hideMark/>
          </w:tcPr>
          <w:p w14:paraId="7FEC5D42" w14:textId="77777777" w:rsidR="002C3120" w:rsidRPr="002E6255" w:rsidRDefault="002C3120" w:rsidP="00C21D7D">
            <w:pPr>
              <w:jc w:val="center"/>
              <w:rPr>
                <w:rFonts w:ascii="Arial" w:hAnsi="Arial" w:cs="Arial"/>
                <w:sz w:val="20"/>
                <w:szCs w:val="20"/>
              </w:rPr>
            </w:pPr>
            <w:r w:rsidRPr="002E6255">
              <w:rPr>
                <w:rFonts w:ascii="Arial" w:hAnsi="Arial" w:cs="Arial"/>
                <w:sz w:val="20"/>
                <w:szCs w:val="20"/>
              </w:rPr>
              <w:t>20%</w:t>
            </w:r>
          </w:p>
        </w:tc>
      </w:tr>
      <w:tr w:rsidR="002C3120" w:rsidRPr="005C08DC" w14:paraId="0470EF3F" w14:textId="77777777" w:rsidTr="00C21D7D">
        <w:trPr>
          <w:trHeight w:val="300"/>
        </w:trPr>
        <w:tc>
          <w:tcPr>
            <w:tcW w:w="1780" w:type="dxa"/>
            <w:shd w:val="clear" w:color="auto" w:fill="auto"/>
            <w:noWrap/>
            <w:vAlign w:val="bottom"/>
            <w:hideMark/>
          </w:tcPr>
          <w:p w14:paraId="2A416911" w14:textId="77777777" w:rsidR="002C3120" w:rsidRPr="002E6255" w:rsidRDefault="002C3120" w:rsidP="00C21D7D">
            <w:pPr>
              <w:rPr>
                <w:rFonts w:ascii="Arial" w:hAnsi="Arial" w:cs="Arial"/>
                <w:sz w:val="20"/>
                <w:szCs w:val="20"/>
              </w:rPr>
            </w:pPr>
            <w:r w:rsidRPr="002E6255">
              <w:rPr>
                <w:rFonts w:ascii="Arial" w:hAnsi="Arial" w:cs="Arial"/>
                <w:sz w:val="20"/>
                <w:szCs w:val="20"/>
              </w:rPr>
              <w:t>do 30% včetně</w:t>
            </w:r>
          </w:p>
        </w:tc>
        <w:tc>
          <w:tcPr>
            <w:tcW w:w="1360" w:type="dxa"/>
            <w:shd w:val="clear" w:color="auto" w:fill="auto"/>
            <w:noWrap/>
            <w:vAlign w:val="bottom"/>
            <w:hideMark/>
          </w:tcPr>
          <w:p w14:paraId="2A687583" w14:textId="77777777" w:rsidR="002C3120" w:rsidRPr="002E6255" w:rsidRDefault="002C3120" w:rsidP="00C21D7D">
            <w:pPr>
              <w:jc w:val="center"/>
              <w:rPr>
                <w:rFonts w:ascii="Arial" w:hAnsi="Arial" w:cs="Arial"/>
                <w:sz w:val="20"/>
                <w:szCs w:val="20"/>
              </w:rPr>
            </w:pPr>
            <w:r w:rsidRPr="002E6255">
              <w:rPr>
                <w:rFonts w:ascii="Arial" w:hAnsi="Arial" w:cs="Arial"/>
                <w:sz w:val="20"/>
                <w:szCs w:val="20"/>
              </w:rPr>
              <w:t>15%</w:t>
            </w:r>
          </w:p>
        </w:tc>
      </w:tr>
      <w:tr w:rsidR="002C3120" w:rsidRPr="005C08DC" w14:paraId="23CAF623" w14:textId="77777777" w:rsidTr="00C21D7D">
        <w:trPr>
          <w:trHeight w:val="300"/>
        </w:trPr>
        <w:tc>
          <w:tcPr>
            <w:tcW w:w="1780" w:type="dxa"/>
            <w:shd w:val="clear" w:color="auto" w:fill="auto"/>
            <w:noWrap/>
            <w:vAlign w:val="bottom"/>
            <w:hideMark/>
          </w:tcPr>
          <w:p w14:paraId="7B96F064" w14:textId="77777777" w:rsidR="002C3120" w:rsidRPr="002E6255" w:rsidRDefault="002C3120" w:rsidP="00C21D7D">
            <w:pPr>
              <w:rPr>
                <w:rFonts w:ascii="Arial" w:hAnsi="Arial" w:cs="Arial"/>
                <w:sz w:val="20"/>
                <w:szCs w:val="20"/>
              </w:rPr>
            </w:pPr>
            <w:r w:rsidRPr="002E6255">
              <w:rPr>
                <w:rFonts w:ascii="Arial" w:hAnsi="Arial" w:cs="Arial"/>
                <w:sz w:val="20"/>
                <w:szCs w:val="20"/>
              </w:rPr>
              <w:t>do 40% včetně</w:t>
            </w:r>
          </w:p>
        </w:tc>
        <w:tc>
          <w:tcPr>
            <w:tcW w:w="1360" w:type="dxa"/>
            <w:shd w:val="clear" w:color="auto" w:fill="auto"/>
            <w:noWrap/>
            <w:vAlign w:val="bottom"/>
            <w:hideMark/>
          </w:tcPr>
          <w:p w14:paraId="6891287B" w14:textId="77777777" w:rsidR="002C3120" w:rsidRPr="002E6255" w:rsidRDefault="002C3120" w:rsidP="00C21D7D">
            <w:pPr>
              <w:jc w:val="center"/>
              <w:rPr>
                <w:rFonts w:ascii="Arial" w:hAnsi="Arial" w:cs="Arial"/>
                <w:sz w:val="20"/>
                <w:szCs w:val="20"/>
              </w:rPr>
            </w:pPr>
            <w:r w:rsidRPr="002E6255">
              <w:rPr>
                <w:rFonts w:ascii="Arial" w:hAnsi="Arial" w:cs="Arial"/>
                <w:sz w:val="20"/>
                <w:szCs w:val="20"/>
              </w:rPr>
              <w:t>10%</w:t>
            </w:r>
          </w:p>
        </w:tc>
      </w:tr>
      <w:tr w:rsidR="002C3120" w:rsidRPr="005C08DC" w14:paraId="1A234402" w14:textId="77777777" w:rsidTr="00C21D7D">
        <w:trPr>
          <w:trHeight w:val="300"/>
        </w:trPr>
        <w:tc>
          <w:tcPr>
            <w:tcW w:w="1780" w:type="dxa"/>
            <w:shd w:val="clear" w:color="auto" w:fill="auto"/>
            <w:noWrap/>
            <w:vAlign w:val="bottom"/>
            <w:hideMark/>
          </w:tcPr>
          <w:p w14:paraId="3C51756E" w14:textId="77777777" w:rsidR="002C3120" w:rsidRPr="002E6255" w:rsidRDefault="002C3120" w:rsidP="00C21D7D">
            <w:pPr>
              <w:rPr>
                <w:rFonts w:ascii="Arial" w:hAnsi="Arial" w:cs="Arial"/>
                <w:sz w:val="20"/>
                <w:szCs w:val="20"/>
              </w:rPr>
            </w:pPr>
            <w:r w:rsidRPr="002E6255">
              <w:rPr>
                <w:rFonts w:ascii="Arial" w:hAnsi="Arial" w:cs="Arial"/>
                <w:sz w:val="20"/>
                <w:szCs w:val="20"/>
              </w:rPr>
              <w:t>do 45% včetně</w:t>
            </w:r>
          </w:p>
        </w:tc>
        <w:tc>
          <w:tcPr>
            <w:tcW w:w="1360" w:type="dxa"/>
            <w:shd w:val="clear" w:color="auto" w:fill="auto"/>
            <w:noWrap/>
            <w:vAlign w:val="bottom"/>
            <w:hideMark/>
          </w:tcPr>
          <w:p w14:paraId="1C12D933" w14:textId="77777777" w:rsidR="002C3120" w:rsidRPr="002E6255" w:rsidRDefault="002C3120" w:rsidP="00C21D7D">
            <w:pPr>
              <w:jc w:val="center"/>
              <w:rPr>
                <w:rFonts w:ascii="Arial" w:hAnsi="Arial" w:cs="Arial"/>
                <w:sz w:val="20"/>
                <w:szCs w:val="20"/>
              </w:rPr>
            </w:pPr>
            <w:r w:rsidRPr="002E6255">
              <w:rPr>
                <w:rFonts w:ascii="Arial" w:hAnsi="Arial" w:cs="Arial"/>
                <w:sz w:val="20"/>
                <w:szCs w:val="20"/>
              </w:rPr>
              <w:t>5%</w:t>
            </w:r>
          </w:p>
        </w:tc>
      </w:tr>
      <w:tr w:rsidR="002C3120" w:rsidRPr="005C08DC" w14:paraId="6C5D12DE" w14:textId="77777777" w:rsidTr="00C21D7D">
        <w:trPr>
          <w:trHeight w:val="300"/>
        </w:trPr>
        <w:tc>
          <w:tcPr>
            <w:tcW w:w="1780" w:type="dxa"/>
            <w:shd w:val="clear" w:color="auto" w:fill="auto"/>
            <w:noWrap/>
            <w:vAlign w:val="bottom"/>
            <w:hideMark/>
          </w:tcPr>
          <w:p w14:paraId="55F4C955" w14:textId="77777777" w:rsidR="002C3120" w:rsidRPr="002E6255" w:rsidRDefault="002C3120" w:rsidP="00C21D7D">
            <w:pPr>
              <w:rPr>
                <w:rFonts w:ascii="Arial" w:hAnsi="Arial" w:cs="Arial"/>
                <w:sz w:val="20"/>
                <w:szCs w:val="20"/>
              </w:rPr>
            </w:pPr>
            <w:r w:rsidRPr="002E6255">
              <w:rPr>
                <w:rFonts w:ascii="Arial" w:hAnsi="Arial" w:cs="Arial"/>
                <w:sz w:val="20"/>
                <w:szCs w:val="20"/>
              </w:rPr>
              <w:t>více jak 45%</w:t>
            </w:r>
          </w:p>
        </w:tc>
        <w:tc>
          <w:tcPr>
            <w:tcW w:w="1360" w:type="dxa"/>
            <w:shd w:val="clear" w:color="auto" w:fill="auto"/>
            <w:noWrap/>
            <w:vAlign w:val="bottom"/>
            <w:hideMark/>
          </w:tcPr>
          <w:p w14:paraId="2ADC9C18" w14:textId="77777777" w:rsidR="002C3120" w:rsidRPr="002E6255" w:rsidRDefault="002C3120" w:rsidP="00C21D7D">
            <w:pPr>
              <w:jc w:val="center"/>
              <w:rPr>
                <w:rFonts w:ascii="Arial" w:hAnsi="Arial" w:cs="Arial"/>
                <w:sz w:val="20"/>
                <w:szCs w:val="20"/>
              </w:rPr>
            </w:pPr>
            <w:r w:rsidRPr="002E6255">
              <w:rPr>
                <w:rFonts w:ascii="Arial" w:hAnsi="Arial" w:cs="Arial"/>
                <w:sz w:val="20"/>
                <w:szCs w:val="20"/>
              </w:rPr>
              <w:t>0%</w:t>
            </w:r>
          </w:p>
        </w:tc>
      </w:tr>
    </w:tbl>
    <w:p w14:paraId="49A9B9CC" w14:textId="77777777" w:rsidR="002C3120" w:rsidRPr="002E6255" w:rsidRDefault="002C3120" w:rsidP="002C3120">
      <w:pPr>
        <w:rPr>
          <w:rFonts w:ascii="Arial" w:hAnsi="Arial" w:cs="Arial"/>
          <w:sz w:val="20"/>
          <w:szCs w:val="20"/>
        </w:rPr>
      </w:pPr>
    </w:p>
    <w:p w14:paraId="0F49975C" w14:textId="77777777" w:rsidR="002C3120" w:rsidRPr="002E6255" w:rsidRDefault="002C3120" w:rsidP="005E73A4">
      <w:pPr>
        <w:pStyle w:val="Odstavecseseznamem"/>
        <w:spacing w:before="120"/>
        <w:ind w:left="0"/>
        <w:jc w:val="both"/>
        <w:rPr>
          <w:rFonts w:ascii="Arial" w:hAnsi="Arial" w:cs="Arial"/>
          <w:sz w:val="20"/>
          <w:szCs w:val="20"/>
        </w:rPr>
      </w:pPr>
    </w:p>
    <w:p w14:paraId="15406C81" w14:textId="77777777" w:rsidR="00D33B90" w:rsidRPr="002E6255" w:rsidRDefault="00D33B90" w:rsidP="005E73A4">
      <w:pPr>
        <w:pStyle w:val="Odstavecseseznamem"/>
        <w:spacing w:before="120"/>
        <w:ind w:left="0"/>
        <w:jc w:val="both"/>
        <w:rPr>
          <w:rFonts w:ascii="Arial" w:hAnsi="Arial" w:cs="Arial"/>
          <w:sz w:val="20"/>
          <w:szCs w:val="20"/>
        </w:rPr>
      </w:pPr>
    </w:p>
    <w:p w14:paraId="638F60A9" w14:textId="77777777" w:rsidR="00D33B90" w:rsidRPr="002E6255" w:rsidRDefault="00D33B90" w:rsidP="005E73A4">
      <w:pPr>
        <w:pStyle w:val="Odstavecseseznamem"/>
        <w:spacing w:before="120"/>
        <w:ind w:left="0"/>
        <w:jc w:val="both"/>
        <w:rPr>
          <w:rFonts w:ascii="Arial" w:hAnsi="Arial" w:cs="Arial"/>
          <w:sz w:val="20"/>
          <w:szCs w:val="20"/>
        </w:rPr>
      </w:pPr>
    </w:p>
    <w:p w14:paraId="0E7C1E65" w14:textId="77777777" w:rsidR="00D33B90" w:rsidRPr="002E6255" w:rsidRDefault="00D33B90" w:rsidP="005E73A4">
      <w:pPr>
        <w:pStyle w:val="Odstavecseseznamem"/>
        <w:spacing w:before="120"/>
        <w:ind w:left="0"/>
        <w:jc w:val="both"/>
        <w:rPr>
          <w:rFonts w:ascii="Arial" w:hAnsi="Arial" w:cs="Arial"/>
          <w:sz w:val="20"/>
          <w:szCs w:val="20"/>
        </w:rPr>
      </w:pPr>
    </w:p>
    <w:p w14:paraId="4AA6CADA" w14:textId="77777777" w:rsidR="00D33B90" w:rsidRPr="002E6255" w:rsidRDefault="00D33B90" w:rsidP="005E73A4">
      <w:pPr>
        <w:pStyle w:val="Odstavecseseznamem"/>
        <w:spacing w:before="120"/>
        <w:ind w:left="0"/>
        <w:jc w:val="both"/>
        <w:rPr>
          <w:rFonts w:ascii="Arial" w:hAnsi="Arial" w:cs="Arial"/>
          <w:sz w:val="20"/>
          <w:szCs w:val="20"/>
        </w:rPr>
      </w:pPr>
    </w:p>
    <w:p w14:paraId="7BC0F5F1" w14:textId="77777777" w:rsidR="005E73A4" w:rsidRPr="002E6255" w:rsidRDefault="005E73A4" w:rsidP="002E6255">
      <w:pPr>
        <w:pStyle w:val="Odstavecseseznamem"/>
        <w:spacing w:before="120"/>
        <w:ind w:left="0"/>
        <w:jc w:val="both"/>
        <w:rPr>
          <w:rFonts w:ascii="Arial" w:hAnsi="Arial" w:cs="Arial"/>
          <w:sz w:val="18"/>
          <w:szCs w:val="16"/>
        </w:rPr>
      </w:pPr>
    </w:p>
    <w:p w14:paraId="34A81C35" w14:textId="77777777" w:rsidR="008909E6" w:rsidRPr="002E6255" w:rsidRDefault="008909E6" w:rsidP="002E6255">
      <w:pPr>
        <w:pStyle w:val="Odstavecseseznamem"/>
        <w:spacing w:before="120"/>
        <w:ind w:left="0"/>
        <w:jc w:val="both"/>
        <w:rPr>
          <w:rFonts w:ascii="Arial" w:hAnsi="Arial" w:cs="Arial"/>
          <w:sz w:val="18"/>
          <w:szCs w:val="16"/>
        </w:rPr>
      </w:pPr>
    </w:p>
    <w:p w14:paraId="304EE842" w14:textId="77777777" w:rsidR="007D2157" w:rsidRPr="005E73A4" w:rsidRDefault="007D2157" w:rsidP="007D2157">
      <w:pPr>
        <w:widowControl/>
        <w:adjustRightInd/>
        <w:spacing w:line="240" w:lineRule="auto"/>
        <w:textAlignment w:val="auto"/>
        <w:rPr>
          <w:rFonts w:ascii="Arial" w:hAnsi="Arial" w:cs="Arial"/>
          <w:sz w:val="20"/>
          <w:szCs w:val="20"/>
        </w:rPr>
      </w:pPr>
    </w:p>
    <w:p w14:paraId="5E30FEFF" w14:textId="620C6A69" w:rsidR="002E3FA6" w:rsidRPr="002E6255" w:rsidRDefault="002E3FA6" w:rsidP="002E3FA6">
      <w:pPr>
        <w:autoSpaceDE w:val="0"/>
        <w:autoSpaceDN w:val="0"/>
        <w:spacing w:line="240" w:lineRule="auto"/>
        <w:rPr>
          <w:rFonts w:ascii="Arial" w:hAnsi="Arial" w:cs="Arial"/>
          <w:sz w:val="20"/>
          <w:szCs w:val="20"/>
        </w:rPr>
      </w:pPr>
      <w:r>
        <w:rPr>
          <w:rFonts w:ascii="Arial" w:hAnsi="Arial" w:cs="Arial"/>
          <w:sz w:val="20"/>
          <w:szCs w:val="20"/>
        </w:rPr>
        <w:t xml:space="preserve">Parametry jednotlivých vozidel včetně požadovaného rozsahu jsou </w:t>
      </w:r>
      <w:r w:rsidR="003D244A" w:rsidRPr="002E3FA6">
        <w:rPr>
          <w:rFonts w:ascii="Arial" w:hAnsi="Arial" w:cs="Arial"/>
          <w:sz w:val="20"/>
          <w:szCs w:val="20"/>
        </w:rPr>
        <w:t>uveden</w:t>
      </w:r>
      <w:r>
        <w:rPr>
          <w:rFonts w:ascii="Arial" w:hAnsi="Arial" w:cs="Arial"/>
          <w:sz w:val="20"/>
          <w:szCs w:val="20"/>
        </w:rPr>
        <w:t>y</w:t>
      </w:r>
      <w:r w:rsidR="003D244A" w:rsidRPr="002E3FA6">
        <w:rPr>
          <w:rFonts w:ascii="Arial" w:hAnsi="Arial" w:cs="Arial"/>
          <w:sz w:val="20"/>
          <w:szCs w:val="20"/>
        </w:rPr>
        <w:t xml:space="preserve"> v</w:t>
      </w:r>
      <w:r w:rsidR="00732439" w:rsidRPr="002E3FA6">
        <w:rPr>
          <w:rFonts w:ascii="Arial" w:hAnsi="Arial" w:cs="Arial"/>
          <w:sz w:val="20"/>
          <w:szCs w:val="20"/>
        </w:rPr>
        <w:t xml:space="preserve"> samostatné </w:t>
      </w:r>
      <w:r w:rsidR="003D244A" w:rsidRPr="00E96F8E">
        <w:rPr>
          <w:rFonts w:ascii="Arial" w:hAnsi="Arial" w:cs="Arial"/>
          <w:sz w:val="20"/>
          <w:szCs w:val="20"/>
        </w:rPr>
        <w:t xml:space="preserve">příloze </w:t>
      </w:r>
      <w:r w:rsidRPr="00E96F8E">
        <w:rPr>
          <w:rFonts w:ascii="Arial" w:hAnsi="Arial" w:cs="Arial"/>
          <w:sz w:val="20"/>
          <w:szCs w:val="20"/>
        </w:rPr>
        <w:t xml:space="preserve">č. </w:t>
      </w:r>
      <w:r w:rsidR="00E96F8E" w:rsidRPr="00E96F8E">
        <w:rPr>
          <w:rFonts w:ascii="Arial" w:hAnsi="Arial" w:cs="Arial"/>
          <w:sz w:val="20"/>
          <w:szCs w:val="20"/>
        </w:rPr>
        <w:t>5</w:t>
      </w:r>
      <w:r w:rsidR="00732439" w:rsidRPr="00E96F8E">
        <w:rPr>
          <w:rFonts w:ascii="Arial" w:hAnsi="Arial" w:cs="Arial"/>
          <w:sz w:val="20"/>
          <w:szCs w:val="20"/>
        </w:rPr>
        <w:t xml:space="preserve"> </w:t>
      </w:r>
      <w:r w:rsidRPr="00E96F8E">
        <w:rPr>
          <w:rFonts w:ascii="Arial" w:hAnsi="Arial" w:cs="Arial"/>
          <w:sz w:val="20"/>
          <w:szCs w:val="20"/>
        </w:rPr>
        <w:t>této zadávací dokumentace veřejné zakázky – seznam vozidel.</w:t>
      </w:r>
    </w:p>
    <w:p w14:paraId="18B3605E" w14:textId="77777777" w:rsidR="007D2157" w:rsidRPr="002E6255" w:rsidRDefault="007D2157" w:rsidP="002E6255">
      <w:pPr>
        <w:widowControl/>
        <w:adjustRightInd/>
        <w:spacing w:line="240" w:lineRule="auto"/>
        <w:textAlignment w:val="auto"/>
        <w:rPr>
          <w:rFonts w:ascii="Arial" w:hAnsi="Arial" w:cs="Arial"/>
          <w:sz w:val="20"/>
          <w:szCs w:val="20"/>
        </w:rPr>
      </w:pPr>
    </w:p>
    <w:p w14:paraId="1F2496C0" w14:textId="3CC39E5B" w:rsidR="00732439" w:rsidRPr="005E73A4" w:rsidRDefault="00732439" w:rsidP="0010550C">
      <w:pPr>
        <w:rPr>
          <w:rFonts w:ascii="Arial" w:hAnsi="Arial" w:cs="Arial"/>
          <w:b/>
          <w:sz w:val="20"/>
          <w:szCs w:val="20"/>
          <w:u w:val="single"/>
        </w:rPr>
      </w:pPr>
    </w:p>
    <w:p w14:paraId="59B80B01" w14:textId="77777777" w:rsidR="00732439" w:rsidRPr="0010550C" w:rsidRDefault="00732439" w:rsidP="00732439">
      <w:pPr>
        <w:rPr>
          <w:rFonts w:ascii="Arial" w:hAnsi="Arial" w:cs="Arial"/>
          <w:sz w:val="20"/>
          <w:szCs w:val="20"/>
        </w:rPr>
      </w:pPr>
      <w:r w:rsidRPr="0010550C">
        <w:rPr>
          <w:rFonts w:ascii="Arial" w:hAnsi="Arial" w:cs="Arial"/>
          <w:sz w:val="20"/>
          <w:szCs w:val="20"/>
        </w:rPr>
        <w:t>Pro účely zpracování nabídek dodavatelů odpovídající požadavkům zadavatele zadavatel poskytuje informace v oblasti čerpání pojistného plnění:</w:t>
      </w:r>
    </w:p>
    <w:p w14:paraId="67AEAE8C" w14:textId="6F4F9845" w:rsidR="00E1542E" w:rsidRPr="0010550C" w:rsidRDefault="003D244A" w:rsidP="00464570">
      <w:pPr>
        <w:rPr>
          <w:rFonts w:ascii="Arial" w:hAnsi="Arial" w:cs="Arial"/>
          <w:b/>
          <w:sz w:val="20"/>
          <w:szCs w:val="20"/>
          <w:u w:val="single"/>
        </w:rPr>
      </w:pPr>
      <w:r w:rsidRPr="0010550C">
        <w:rPr>
          <w:rFonts w:ascii="Arial" w:hAnsi="Arial" w:cs="Arial"/>
          <w:b/>
          <w:sz w:val="20"/>
          <w:szCs w:val="20"/>
        </w:rPr>
        <w:t>Škod</w:t>
      </w:r>
      <w:r w:rsidR="00952A78" w:rsidRPr="0010550C">
        <w:rPr>
          <w:rFonts w:ascii="Arial" w:hAnsi="Arial" w:cs="Arial"/>
          <w:b/>
          <w:sz w:val="20"/>
          <w:szCs w:val="20"/>
        </w:rPr>
        <w:t>ní průbě</w:t>
      </w:r>
      <w:r w:rsidR="00464570" w:rsidRPr="0010550C">
        <w:rPr>
          <w:rFonts w:ascii="Arial" w:hAnsi="Arial" w:cs="Arial"/>
          <w:b/>
          <w:sz w:val="20"/>
          <w:szCs w:val="20"/>
        </w:rPr>
        <w:t>h za období 1. 9. 2009 – 5. 8. 2020</w:t>
      </w:r>
      <w:r w:rsidR="00E1542E" w:rsidRPr="0010550C">
        <w:rPr>
          <w:rFonts w:ascii="Arial" w:hAnsi="Arial" w:cs="Arial"/>
          <w:b/>
          <w:sz w:val="20"/>
          <w:szCs w:val="20"/>
        </w:rPr>
        <w:t xml:space="preserve"> </w:t>
      </w:r>
      <w:r w:rsidR="00464570" w:rsidRPr="0010550C">
        <w:rPr>
          <w:rFonts w:ascii="Arial" w:hAnsi="Arial" w:cs="Arial"/>
          <w:b/>
          <w:sz w:val="20"/>
          <w:szCs w:val="20"/>
        </w:rPr>
        <w:t>ve výši 52%.</w:t>
      </w:r>
    </w:p>
    <w:p w14:paraId="336B1544" w14:textId="77777777" w:rsidR="00E17B65" w:rsidRPr="00D14D9B" w:rsidRDefault="00E17B65"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16"/>
          <w:szCs w:val="16"/>
        </w:rPr>
      </w:pPr>
    </w:p>
    <w:p w14:paraId="2E1B9477" w14:textId="77777777" w:rsidR="00E17B65" w:rsidRPr="002E6255" w:rsidRDefault="00E17B65"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16"/>
          <w:szCs w:val="16"/>
        </w:rPr>
      </w:pPr>
    </w:p>
    <w:p w14:paraId="731B6CFF" w14:textId="77777777" w:rsidR="00E17B65" w:rsidRPr="002E6255" w:rsidRDefault="00E17B65"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16"/>
          <w:szCs w:val="16"/>
        </w:rPr>
      </w:pPr>
    </w:p>
    <w:p w14:paraId="7E3175AF" w14:textId="77777777" w:rsidR="00E17B65" w:rsidRPr="002E6255" w:rsidRDefault="00E17B65" w:rsidP="0046076C">
      <w:pPr>
        <w:pStyle w:val="Adresa"/>
        <w:tabs>
          <w:tab w:val="clear" w:pos="851"/>
          <w:tab w:val="clear" w:pos="1701"/>
          <w:tab w:val="clear" w:pos="2552"/>
          <w:tab w:val="clear" w:pos="3402"/>
          <w:tab w:val="clear" w:pos="4253"/>
          <w:tab w:val="clear" w:pos="5103"/>
          <w:tab w:val="clear" w:pos="5954"/>
          <w:tab w:val="clear" w:pos="6804"/>
          <w:tab w:val="clear" w:pos="7655"/>
          <w:tab w:val="clear" w:pos="8505"/>
        </w:tabs>
        <w:ind w:left="540"/>
        <w:jc w:val="both"/>
        <w:rPr>
          <w:rFonts w:cs="Arial"/>
          <w:sz w:val="16"/>
          <w:szCs w:val="16"/>
        </w:rPr>
      </w:pPr>
    </w:p>
    <w:p w14:paraId="4A7CAEF0" w14:textId="77777777" w:rsidR="00E17B65" w:rsidRPr="002E6255" w:rsidRDefault="00E17B65" w:rsidP="003D36F1">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both"/>
        <w:rPr>
          <w:rFonts w:cs="Arial"/>
          <w:sz w:val="16"/>
          <w:szCs w:val="16"/>
        </w:rPr>
      </w:pPr>
    </w:p>
    <w:p w14:paraId="2C500A7A" w14:textId="77777777" w:rsidR="008E3960" w:rsidRPr="005E73A4" w:rsidRDefault="008E3960" w:rsidP="008E3960">
      <w:pPr>
        <w:pStyle w:val="Adresa"/>
        <w:tabs>
          <w:tab w:val="clear" w:pos="851"/>
          <w:tab w:val="clear" w:pos="1701"/>
          <w:tab w:val="clear" w:pos="2552"/>
          <w:tab w:val="clear" w:pos="3402"/>
          <w:tab w:val="clear" w:pos="4253"/>
          <w:tab w:val="clear" w:pos="5103"/>
          <w:tab w:val="clear" w:pos="5954"/>
          <w:tab w:val="clear" w:pos="6804"/>
          <w:tab w:val="clear" w:pos="7655"/>
          <w:tab w:val="clear" w:pos="8505"/>
        </w:tabs>
        <w:jc w:val="both"/>
        <w:rPr>
          <w:rFonts w:cs="Arial"/>
          <w:sz w:val="16"/>
          <w:szCs w:val="16"/>
        </w:rPr>
      </w:pPr>
    </w:p>
    <w:sectPr w:rsidR="008E3960" w:rsidRPr="005E73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4B6"/>
    <w:multiLevelType w:val="hybridMultilevel"/>
    <w:tmpl w:val="0718979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F7958E8"/>
    <w:multiLevelType w:val="hybridMultilevel"/>
    <w:tmpl w:val="10B654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DF676F"/>
    <w:multiLevelType w:val="hybridMultilevel"/>
    <w:tmpl w:val="9392C93C"/>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26A27A8"/>
    <w:multiLevelType w:val="hybridMultilevel"/>
    <w:tmpl w:val="05585FF4"/>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8390B5D"/>
    <w:multiLevelType w:val="hybridMultilevel"/>
    <w:tmpl w:val="0660F99E"/>
    <w:lvl w:ilvl="0" w:tplc="06F66F7A">
      <w:start w:val="1"/>
      <w:numFmt w:val="lowerLetter"/>
      <w:lvlText w:val="%1)"/>
      <w:lvlJc w:val="left"/>
      <w:pPr>
        <w:ind w:left="900" w:hanging="360"/>
      </w:pPr>
      <w:rPr>
        <w:rFonts w:ascii="Times New Roman" w:hAnsi="Times New Roman" w:cs="Times New Roman" w:hint="default"/>
        <w:b w:val="0"/>
        <w:sz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5" w15:restartNumberingAfterBreak="0">
    <w:nsid w:val="1B792CE5"/>
    <w:multiLevelType w:val="hybridMultilevel"/>
    <w:tmpl w:val="095428F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5E5366"/>
    <w:multiLevelType w:val="hybridMultilevel"/>
    <w:tmpl w:val="7436BE40"/>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B023471"/>
    <w:multiLevelType w:val="hybridMultilevel"/>
    <w:tmpl w:val="179C2C8E"/>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B4C35F1"/>
    <w:multiLevelType w:val="multilevel"/>
    <w:tmpl w:val="6C52EA48"/>
    <w:lvl w:ilvl="0">
      <w:start w:val="1"/>
      <w:numFmt w:val="decimal"/>
      <w:lvlText w:val="%1."/>
      <w:lvlJc w:val="left"/>
      <w:pPr>
        <w:tabs>
          <w:tab w:val="num" w:pos="567"/>
        </w:tabs>
        <w:ind w:left="567" w:hanging="567"/>
      </w:pPr>
      <w:rPr>
        <w:rFonts w:ascii="Arial" w:hAnsi="Arial" w:hint="default"/>
        <w:b/>
        <w:i w:val="0"/>
        <w:color w:val="FFFFFF"/>
        <w:sz w:val="16"/>
        <w:szCs w:val="20"/>
      </w:rPr>
    </w:lvl>
    <w:lvl w:ilvl="1">
      <w:start w:val="1"/>
      <w:numFmt w:val="decimal"/>
      <w:lvlText w:val="%1.%2."/>
      <w:lvlJc w:val="left"/>
      <w:pPr>
        <w:tabs>
          <w:tab w:val="num" w:pos="567"/>
        </w:tabs>
        <w:ind w:left="567" w:hanging="567"/>
      </w:pPr>
      <w:rPr>
        <w:rFonts w:ascii="Arial" w:hAnsi="Arial" w:hint="default"/>
        <w:b w:val="0"/>
        <w:i w:val="0"/>
        <w:sz w:val="16"/>
        <w:szCs w:val="20"/>
      </w:rPr>
    </w:lvl>
    <w:lvl w:ilvl="2">
      <w:start w:val="1"/>
      <w:numFmt w:val="decimal"/>
      <w:lvlText w:val="%1.%2.%3."/>
      <w:lvlJc w:val="left"/>
      <w:pPr>
        <w:tabs>
          <w:tab w:val="num" w:pos="927"/>
        </w:tabs>
        <w:ind w:left="927" w:hanging="567"/>
      </w:pPr>
      <w:rPr>
        <w:rFonts w:ascii="Arial" w:hAnsi="Arial" w:hint="default"/>
        <w:b w:val="0"/>
        <w:i w:val="0"/>
        <w:sz w:val="16"/>
        <w:szCs w:val="20"/>
      </w:rPr>
    </w:lvl>
    <w:lvl w:ilvl="3">
      <w:start w:val="1"/>
      <w:numFmt w:val="decimal"/>
      <w:lvlText w:val="%1.%2.%3.%4."/>
      <w:lvlJc w:val="left"/>
      <w:pPr>
        <w:tabs>
          <w:tab w:val="num" w:pos="1134"/>
        </w:tabs>
        <w:ind w:left="1134" w:hanging="1134"/>
      </w:pPr>
      <w:rPr>
        <w:rFonts w:ascii="Arial" w:hAnsi="Arial" w:hint="default"/>
        <w:b w:val="0"/>
        <w:i w:val="0"/>
        <w:sz w:val="16"/>
        <w:szCs w:val="16"/>
      </w:rPr>
    </w:lvl>
    <w:lvl w:ilvl="4">
      <w:start w:val="1"/>
      <w:numFmt w:val="decimal"/>
      <w:lvlText w:val="%1.%2.%3.%4.%5."/>
      <w:lvlJc w:val="left"/>
      <w:pPr>
        <w:tabs>
          <w:tab w:val="num" w:pos="1134"/>
        </w:tabs>
        <w:ind w:left="1134" w:hanging="1134"/>
      </w:pPr>
      <w:rPr>
        <w:rFonts w:ascii="Arial" w:hAnsi="Arial" w:hint="default"/>
        <w:b w:val="0"/>
        <w:i w:val="0"/>
        <w:sz w:val="16"/>
        <w:szCs w:val="16"/>
      </w:rPr>
    </w:lvl>
    <w:lvl w:ilvl="5">
      <w:start w:val="1"/>
      <w:numFmt w:val="decimal"/>
      <w:lvlText w:val="%1.%2.%3.%4.%5.%6."/>
      <w:lvlJc w:val="left"/>
      <w:pPr>
        <w:tabs>
          <w:tab w:val="num" w:pos="1134"/>
        </w:tabs>
        <w:ind w:left="1134" w:hanging="1134"/>
      </w:pPr>
      <w:rPr>
        <w:rFonts w:ascii="Arial" w:hAnsi="Arial" w:hint="default"/>
        <w:b w:val="0"/>
        <w:i w:val="0"/>
        <w:sz w:val="16"/>
        <w:szCs w:val="16"/>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9" w15:restartNumberingAfterBreak="0">
    <w:nsid w:val="3062544A"/>
    <w:multiLevelType w:val="hybridMultilevel"/>
    <w:tmpl w:val="E1364F10"/>
    <w:lvl w:ilvl="0" w:tplc="04050001">
      <w:start w:val="1"/>
      <w:numFmt w:val="bullet"/>
      <w:lvlText w:val=""/>
      <w:lvlJc w:val="left"/>
      <w:pPr>
        <w:ind w:left="1068" w:hanging="360"/>
      </w:pPr>
      <w:rPr>
        <w:rFonts w:ascii="Symbol" w:hAnsi="Symbol" w:hint="default"/>
        <w:b w:val="0"/>
        <w:sz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331E4DD9"/>
    <w:multiLevelType w:val="hybridMultilevel"/>
    <w:tmpl w:val="028E589E"/>
    <w:lvl w:ilvl="0" w:tplc="0DB4F69A">
      <w:start w:val="170"/>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1" w15:restartNumberingAfterBreak="0">
    <w:nsid w:val="37D63B92"/>
    <w:multiLevelType w:val="hybridMultilevel"/>
    <w:tmpl w:val="427C0EF6"/>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3A7564CB"/>
    <w:multiLevelType w:val="hybridMultilevel"/>
    <w:tmpl w:val="0DB05A7E"/>
    <w:lvl w:ilvl="0" w:tplc="7E26126C">
      <w:numFmt w:val="bullet"/>
      <w:lvlText w:val="-"/>
      <w:lvlJc w:val="left"/>
      <w:pPr>
        <w:tabs>
          <w:tab w:val="num" w:pos="899"/>
        </w:tabs>
        <w:ind w:left="899" w:hanging="360"/>
      </w:pPr>
      <w:rPr>
        <w:rFonts w:ascii="Arial" w:eastAsia="Times New Roman" w:hAnsi="Arial" w:cs="Arial" w:hint="default"/>
      </w:rPr>
    </w:lvl>
    <w:lvl w:ilvl="1" w:tplc="04050003" w:tentative="1">
      <w:start w:val="1"/>
      <w:numFmt w:val="bullet"/>
      <w:lvlText w:val="o"/>
      <w:lvlJc w:val="left"/>
      <w:pPr>
        <w:tabs>
          <w:tab w:val="num" w:pos="1619"/>
        </w:tabs>
        <w:ind w:left="1619" w:hanging="360"/>
      </w:pPr>
      <w:rPr>
        <w:rFonts w:ascii="Courier New" w:hAnsi="Courier New" w:cs="Courier New" w:hint="default"/>
      </w:rPr>
    </w:lvl>
    <w:lvl w:ilvl="2" w:tplc="04050005" w:tentative="1">
      <w:start w:val="1"/>
      <w:numFmt w:val="bullet"/>
      <w:lvlText w:val=""/>
      <w:lvlJc w:val="left"/>
      <w:pPr>
        <w:tabs>
          <w:tab w:val="num" w:pos="2339"/>
        </w:tabs>
        <w:ind w:left="2339" w:hanging="360"/>
      </w:pPr>
      <w:rPr>
        <w:rFonts w:ascii="Wingdings" w:hAnsi="Wingdings" w:hint="default"/>
      </w:rPr>
    </w:lvl>
    <w:lvl w:ilvl="3" w:tplc="04050001" w:tentative="1">
      <w:start w:val="1"/>
      <w:numFmt w:val="bullet"/>
      <w:lvlText w:val=""/>
      <w:lvlJc w:val="left"/>
      <w:pPr>
        <w:tabs>
          <w:tab w:val="num" w:pos="3059"/>
        </w:tabs>
        <w:ind w:left="3059" w:hanging="360"/>
      </w:pPr>
      <w:rPr>
        <w:rFonts w:ascii="Symbol" w:hAnsi="Symbol" w:hint="default"/>
      </w:rPr>
    </w:lvl>
    <w:lvl w:ilvl="4" w:tplc="04050003" w:tentative="1">
      <w:start w:val="1"/>
      <w:numFmt w:val="bullet"/>
      <w:lvlText w:val="o"/>
      <w:lvlJc w:val="left"/>
      <w:pPr>
        <w:tabs>
          <w:tab w:val="num" w:pos="3779"/>
        </w:tabs>
        <w:ind w:left="3779" w:hanging="360"/>
      </w:pPr>
      <w:rPr>
        <w:rFonts w:ascii="Courier New" w:hAnsi="Courier New" w:cs="Courier New" w:hint="default"/>
      </w:rPr>
    </w:lvl>
    <w:lvl w:ilvl="5" w:tplc="04050005" w:tentative="1">
      <w:start w:val="1"/>
      <w:numFmt w:val="bullet"/>
      <w:lvlText w:val=""/>
      <w:lvlJc w:val="left"/>
      <w:pPr>
        <w:tabs>
          <w:tab w:val="num" w:pos="4499"/>
        </w:tabs>
        <w:ind w:left="4499" w:hanging="360"/>
      </w:pPr>
      <w:rPr>
        <w:rFonts w:ascii="Wingdings" w:hAnsi="Wingdings" w:hint="default"/>
      </w:rPr>
    </w:lvl>
    <w:lvl w:ilvl="6" w:tplc="04050001" w:tentative="1">
      <w:start w:val="1"/>
      <w:numFmt w:val="bullet"/>
      <w:lvlText w:val=""/>
      <w:lvlJc w:val="left"/>
      <w:pPr>
        <w:tabs>
          <w:tab w:val="num" w:pos="5219"/>
        </w:tabs>
        <w:ind w:left="5219" w:hanging="360"/>
      </w:pPr>
      <w:rPr>
        <w:rFonts w:ascii="Symbol" w:hAnsi="Symbol" w:hint="default"/>
      </w:rPr>
    </w:lvl>
    <w:lvl w:ilvl="7" w:tplc="04050003" w:tentative="1">
      <w:start w:val="1"/>
      <w:numFmt w:val="bullet"/>
      <w:lvlText w:val="o"/>
      <w:lvlJc w:val="left"/>
      <w:pPr>
        <w:tabs>
          <w:tab w:val="num" w:pos="5939"/>
        </w:tabs>
        <w:ind w:left="5939" w:hanging="360"/>
      </w:pPr>
      <w:rPr>
        <w:rFonts w:ascii="Courier New" w:hAnsi="Courier New" w:cs="Courier New" w:hint="default"/>
      </w:rPr>
    </w:lvl>
    <w:lvl w:ilvl="8" w:tplc="04050005" w:tentative="1">
      <w:start w:val="1"/>
      <w:numFmt w:val="bullet"/>
      <w:lvlText w:val=""/>
      <w:lvlJc w:val="left"/>
      <w:pPr>
        <w:tabs>
          <w:tab w:val="num" w:pos="6659"/>
        </w:tabs>
        <w:ind w:left="6659" w:hanging="360"/>
      </w:pPr>
      <w:rPr>
        <w:rFonts w:ascii="Wingdings" w:hAnsi="Wingdings" w:hint="default"/>
      </w:rPr>
    </w:lvl>
  </w:abstractNum>
  <w:abstractNum w:abstractNumId="13" w15:restartNumberingAfterBreak="0">
    <w:nsid w:val="40357595"/>
    <w:multiLevelType w:val="hybridMultilevel"/>
    <w:tmpl w:val="AF2E003E"/>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407F0990"/>
    <w:multiLevelType w:val="hybridMultilevel"/>
    <w:tmpl w:val="04F22B64"/>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5" w15:restartNumberingAfterBreak="0">
    <w:nsid w:val="42236CAD"/>
    <w:multiLevelType w:val="hybridMultilevel"/>
    <w:tmpl w:val="FBE04322"/>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CF249B"/>
    <w:multiLevelType w:val="hybridMultilevel"/>
    <w:tmpl w:val="161687D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03CB4"/>
    <w:multiLevelType w:val="hybridMultilevel"/>
    <w:tmpl w:val="099AA3F6"/>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4920022A"/>
    <w:multiLevelType w:val="hybridMultilevel"/>
    <w:tmpl w:val="66C065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903147"/>
    <w:multiLevelType w:val="hybridMultilevel"/>
    <w:tmpl w:val="12D60C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54003F98"/>
    <w:multiLevelType w:val="hybridMultilevel"/>
    <w:tmpl w:val="DA906286"/>
    <w:lvl w:ilvl="0" w:tplc="0405000F">
      <w:start w:val="1"/>
      <w:numFmt w:val="decimal"/>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59F3171E"/>
    <w:multiLevelType w:val="hybridMultilevel"/>
    <w:tmpl w:val="99A85A8C"/>
    <w:lvl w:ilvl="0" w:tplc="3ADED742">
      <w:start w:val="200"/>
      <w:numFmt w:val="bullet"/>
      <w:lvlText w:val="-"/>
      <w:lvlJc w:val="left"/>
      <w:pPr>
        <w:tabs>
          <w:tab w:val="num" w:pos="900"/>
        </w:tabs>
        <w:ind w:left="900" w:hanging="360"/>
      </w:pPr>
      <w:rPr>
        <w:rFonts w:ascii="Arial" w:eastAsia="Times New Roman" w:hAnsi="Arial" w:cs="Aria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61276285"/>
    <w:multiLevelType w:val="multilevel"/>
    <w:tmpl w:val="A8A8E932"/>
    <w:lvl w:ilvl="0">
      <w:start w:val="2"/>
      <w:numFmt w:val="decimal"/>
      <w:lvlText w:val="%1."/>
      <w:lvlJc w:val="left"/>
      <w:pPr>
        <w:tabs>
          <w:tab w:val="num" w:pos="405"/>
        </w:tabs>
        <w:ind w:left="405" w:hanging="405"/>
      </w:pPr>
      <w:rPr>
        <w:rFonts w:hint="default"/>
        <w:b w:val="0"/>
      </w:rPr>
    </w:lvl>
    <w:lvl w:ilvl="1">
      <w:start w:val="2"/>
      <w:numFmt w:val="decimal"/>
      <w:lvlText w:val="%1.%2."/>
      <w:lvlJc w:val="left"/>
      <w:pPr>
        <w:tabs>
          <w:tab w:val="num" w:pos="405"/>
        </w:tabs>
        <w:ind w:left="405" w:hanging="405"/>
      </w:pPr>
      <w:rPr>
        <w:rFonts w:hint="default"/>
        <w:b w:val="0"/>
      </w:rPr>
    </w:lvl>
    <w:lvl w:ilvl="2">
      <w:start w:val="7"/>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080"/>
        </w:tabs>
        <w:ind w:left="1080" w:hanging="108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23" w15:restartNumberingAfterBreak="0">
    <w:nsid w:val="61D85D61"/>
    <w:multiLevelType w:val="hybridMultilevel"/>
    <w:tmpl w:val="8AF45088"/>
    <w:lvl w:ilvl="0" w:tplc="5D34FD8C">
      <w:start w:val="1"/>
      <w:numFmt w:val="upperRoman"/>
      <w:lvlText w:val="%1."/>
      <w:lvlJc w:val="left"/>
      <w:pPr>
        <w:ind w:left="1260" w:hanging="72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4" w15:restartNumberingAfterBreak="0">
    <w:nsid w:val="6F893AA2"/>
    <w:multiLevelType w:val="hybridMultilevel"/>
    <w:tmpl w:val="8AF45088"/>
    <w:lvl w:ilvl="0" w:tplc="5D34FD8C">
      <w:start w:val="1"/>
      <w:numFmt w:val="upperRoman"/>
      <w:lvlText w:val="%1."/>
      <w:lvlJc w:val="left"/>
      <w:pPr>
        <w:ind w:left="1260" w:hanging="720"/>
      </w:pPr>
      <w:rPr>
        <w:rFonts w:hint="default"/>
      </w:rPr>
    </w:lvl>
    <w:lvl w:ilvl="1" w:tplc="04050019">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5" w15:restartNumberingAfterBreak="0">
    <w:nsid w:val="72770F01"/>
    <w:multiLevelType w:val="hybridMultilevel"/>
    <w:tmpl w:val="9000ED7E"/>
    <w:lvl w:ilvl="0" w:tplc="04050015">
      <w:start w:val="1"/>
      <w:numFmt w:val="upperLetter"/>
      <w:lvlText w:val="%1."/>
      <w:lvlJc w:val="left"/>
      <w:pPr>
        <w:ind w:left="502"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74CB4EE2"/>
    <w:multiLevelType w:val="hybridMultilevel"/>
    <w:tmpl w:val="E136568E"/>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7613075D"/>
    <w:multiLevelType w:val="hybridMultilevel"/>
    <w:tmpl w:val="9EA81F4A"/>
    <w:lvl w:ilvl="0" w:tplc="D862BD5A">
      <w:start w:val="1"/>
      <w:numFmt w:val="decimal"/>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28" w15:restartNumberingAfterBreak="0">
    <w:nsid w:val="7ABA090F"/>
    <w:multiLevelType w:val="hybridMultilevel"/>
    <w:tmpl w:val="4D7E685E"/>
    <w:lvl w:ilvl="0" w:tplc="5FD846CE">
      <w:start w:val="1"/>
      <w:numFmt w:val="decimal"/>
      <w:lvlText w:val="%1)"/>
      <w:lvlJc w:val="left"/>
      <w:pPr>
        <w:tabs>
          <w:tab w:val="num" w:pos="900"/>
        </w:tabs>
        <w:ind w:left="900" w:hanging="360"/>
      </w:pPr>
      <w:rPr>
        <w:rFonts w:hint="default"/>
        <w:color w:val="00000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9" w15:restartNumberingAfterBreak="0">
    <w:nsid w:val="7C2B5372"/>
    <w:multiLevelType w:val="multilevel"/>
    <w:tmpl w:val="05784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1"/>
  </w:num>
  <w:num w:numId="3">
    <w:abstractNumId w:val="27"/>
  </w:num>
  <w:num w:numId="4">
    <w:abstractNumId w:val="28"/>
  </w:num>
  <w:num w:numId="5">
    <w:abstractNumId w:val="22"/>
  </w:num>
  <w:num w:numId="6">
    <w:abstractNumId w:val="12"/>
  </w:num>
  <w:num w:numId="7">
    <w:abstractNumId w:val="24"/>
  </w:num>
  <w:num w:numId="8">
    <w:abstractNumId w:val="23"/>
  </w:num>
  <w:num w:numId="9">
    <w:abstractNumId w:val="4"/>
  </w:num>
  <w:num w:numId="10">
    <w:abstractNumId w:val="9"/>
  </w:num>
  <w:num w:numId="11">
    <w:abstractNumId w:val="10"/>
  </w:num>
  <w:num w:numId="12">
    <w:abstractNumId w:val="20"/>
  </w:num>
  <w:num w:numId="13">
    <w:abstractNumId w:val="19"/>
  </w:num>
  <w:num w:numId="14">
    <w:abstractNumId w:val="29"/>
  </w:num>
  <w:num w:numId="15">
    <w:abstractNumId w:val="14"/>
  </w:num>
  <w:num w:numId="16">
    <w:abstractNumId w:val="3"/>
  </w:num>
  <w:num w:numId="17">
    <w:abstractNumId w:val="11"/>
  </w:num>
  <w:num w:numId="18">
    <w:abstractNumId w:val="13"/>
  </w:num>
  <w:num w:numId="19">
    <w:abstractNumId w:val="6"/>
  </w:num>
  <w:num w:numId="20">
    <w:abstractNumId w:val="25"/>
  </w:num>
  <w:num w:numId="21">
    <w:abstractNumId w:val="1"/>
  </w:num>
  <w:num w:numId="22">
    <w:abstractNumId w:val="2"/>
  </w:num>
  <w:num w:numId="23">
    <w:abstractNumId w:val="7"/>
  </w:num>
  <w:num w:numId="24">
    <w:abstractNumId w:val="17"/>
  </w:num>
  <w:num w:numId="25">
    <w:abstractNumId w:val="18"/>
  </w:num>
  <w:num w:numId="26">
    <w:abstractNumId w:val="0"/>
  </w:num>
  <w:num w:numId="27">
    <w:abstractNumId w:val="5"/>
  </w:num>
  <w:num w:numId="28">
    <w:abstractNumId w:val="16"/>
  </w:num>
  <w:num w:numId="29">
    <w:abstractNumId w:val="15"/>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E91"/>
    <w:rsid w:val="00014A9F"/>
    <w:rsid w:val="000310FA"/>
    <w:rsid w:val="00033D23"/>
    <w:rsid w:val="000451CD"/>
    <w:rsid w:val="000610BC"/>
    <w:rsid w:val="00063199"/>
    <w:rsid w:val="000666A5"/>
    <w:rsid w:val="000732F6"/>
    <w:rsid w:val="000A2A5F"/>
    <w:rsid w:val="000B6C03"/>
    <w:rsid w:val="000B75ED"/>
    <w:rsid w:val="000D0D4C"/>
    <w:rsid w:val="000D0E41"/>
    <w:rsid w:val="000E72F6"/>
    <w:rsid w:val="000F0107"/>
    <w:rsid w:val="0010550C"/>
    <w:rsid w:val="0012240F"/>
    <w:rsid w:val="00123860"/>
    <w:rsid w:val="001465DE"/>
    <w:rsid w:val="00153648"/>
    <w:rsid w:val="001567D3"/>
    <w:rsid w:val="001A0C2D"/>
    <w:rsid w:val="001B2056"/>
    <w:rsid w:val="001F7C6C"/>
    <w:rsid w:val="00264482"/>
    <w:rsid w:val="00295257"/>
    <w:rsid w:val="002A0FDC"/>
    <w:rsid w:val="002A2568"/>
    <w:rsid w:val="002A5286"/>
    <w:rsid w:val="002B090B"/>
    <w:rsid w:val="002B69E3"/>
    <w:rsid w:val="002C3120"/>
    <w:rsid w:val="002C4E33"/>
    <w:rsid w:val="002E3C1E"/>
    <w:rsid w:val="002E3FA6"/>
    <w:rsid w:val="002E6255"/>
    <w:rsid w:val="0033508D"/>
    <w:rsid w:val="003712BB"/>
    <w:rsid w:val="003718EF"/>
    <w:rsid w:val="003720B4"/>
    <w:rsid w:val="003758FB"/>
    <w:rsid w:val="00377357"/>
    <w:rsid w:val="00382BC2"/>
    <w:rsid w:val="00396C3D"/>
    <w:rsid w:val="003A0E16"/>
    <w:rsid w:val="003B1B81"/>
    <w:rsid w:val="003B22C4"/>
    <w:rsid w:val="003B51E9"/>
    <w:rsid w:val="003D1FE5"/>
    <w:rsid w:val="003D244A"/>
    <w:rsid w:val="003D36F1"/>
    <w:rsid w:val="003D4E91"/>
    <w:rsid w:val="003D56B3"/>
    <w:rsid w:val="003E7A17"/>
    <w:rsid w:val="003F3BA8"/>
    <w:rsid w:val="00415757"/>
    <w:rsid w:val="0042515A"/>
    <w:rsid w:val="00435077"/>
    <w:rsid w:val="00455FD8"/>
    <w:rsid w:val="0045775E"/>
    <w:rsid w:val="0046076C"/>
    <w:rsid w:val="00464570"/>
    <w:rsid w:val="004A6F84"/>
    <w:rsid w:val="004B7981"/>
    <w:rsid w:val="004B7CC8"/>
    <w:rsid w:val="004D74DA"/>
    <w:rsid w:val="00511611"/>
    <w:rsid w:val="0051444D"/>
    <w:rsid w:val="005235F6"/>
    <w:rsid w:val="0052788A"/>
    <w:rsid w:val="0053322A"/>
    <w:rsid w:val="00554BC7"/>
    <w:rsid w:val="005647A0"/>
    <w:rsid w:val="00567B03"/>
    <w:rsid w:val="005742C6"/>
    <w:rsid w:val="00583E80"/>
    <w:rsid w:val="005C08DC"/>
    <w:rsid w:val="005C3184"/>
    <w:rsid w:val="005D7122"/>
    <w:rsid w:val="005D73A0"/>
    <w:rsid w:val="005E73A4"/>
    <w:rsid w:val="005F3645"/>
    <w:rsid w:val="00614BCD"/>
    <w:rsid w:val="006205F7"/>
    <w:rsid w:val="00655288"/>
    <w:rsid w:val="00656117"/>
    <w:rsid w:val="006579F1"/>
    <w:rsid w:val="0069737F"/>
    <w:rsid w:val="006B43DB"/>
    <w:rsid w:val="006B6EE6"/>
    <w:rsid w:val="006C7397"/>
    <w:rsid w:val="006E4463"/>
    <w:rsid w:val="006F4280"/>
    <w:rsid w:val="007050AD"/>
    <w:rsid w:val="007152F6"/>
    <w:rsid w:val="00716DED"/>
    <w:rsid w:val="00732439"/>
    <w:rsid w:val="007517B9"/>
    <w:rsid w:val="00765DD6"/>
    <w:rsid w:val="0077023C"/>
    <w:rsid w:val="00770B67"/>
    <w:rsid w:val="00771D1C"/>
    <w:rsid w:val="007D020C"/>
    <w:rsid w:val="007D1146"/>
    <w:rsid w:val="007D2157"/>
    <w:rsid w:val="007D355F"/>
    <w:rsid w:val="007E69B8"/>
    <w:rsid w:val="007F64F4"/>
    <w:rsid w:val="008468CB"/>
    <w:rsid w:val="00855941"/>
    <w:rsid w:val="00876A0D"/>
    <w:rsid w:val="008909E6"/>
    <w:rsid w:val="008B6BBF"/>
    <w:rsid w:val="008B7921"/>
    <w:rsid w:val="008B7BC0"/>
    <w:rsid w:val="008C0619"/>
    <w:rsid w:val="008C0928"/>
    <w:rsid w:val="008E3960"/>
    <w:rsid w:val="008E3C63"/>
    <w:rsid w:val="008F364F"/>
    <w:rsid w:val="008F5D39"/>
    <w:rsid w:val="00952A78"/>
    <w:rsid w:val="00956B9F"/>
    <w:rsid w:val="009600CF"/>
    <w:rsid w:val="009658C8"/>
    <w:rsid w:val="0098005A"/>
    <w:rsid w:val="0098114F"/>
    <w:rsid w:val="009B7003"/>
    <w:rsid w:val="009C07CE"/>
    <w:rsid w:val="009D15BB"/>
    <w:rsid w:val="009E4566"/>
    <w:rsid w:val="00A06169"/>
    <w:rsid w:val="00A1324C"/>
    <w:rsid w:val="00A403D9"/>
    <w:rsid w:val="00A43D72"/>
    <w:rsid w:val="00A63977"/>
    <w:rsid w:val="00A91A4B"/>
    <w:rsid w:val="00A93917"/>
    <w:rsid w:val="00AD361F"/>
    <w:rsid w:val="00AD4878"/>
    <w:rsid w:val="00AE6FA1"/>
    <w:rsid w:val="00B0244D"/>
    <w:rsid w:val="00B054CA"/>
    <w:rsid w:val="00B07A52"/>
    <w:rsid w:val="00B125C5"/>
    <w:rsid w:val="00B448BF"/>
    <w:rsid w:val="00B46D44"/>
    <w:rsid w:val="00B56DD8"/>
    <w:rsid w:val="00B80467"/>
    <w:rsid w:val="00B8165C"/>
    <w:rsid w:val="00B87CFD"/>
    <w:rsid w:val="00B943BD"/>
    <w:rsid w:val="00BA256F"/>
    <w:rsid w:val="00BD28B3"/>
    <w:rsid w:val="00BD493E"/>
    <w:rsid w:val="00BE24FD"/>
    <w:rsid w:val="00BE7FB4"/>
    <w:rsid w:val="00BF7A22"/>
    <w:rsid w:val="00C27661"/>
    <w:rsid w:val="00C60AE9"/>
    <w:rsid w:val="00C93D01"/>
    <w:rsid w:val="00CD56A5"/>
    <w:rsid w:val="00D04783"/>
    <w:rsid w:val="00D14D9B"/>
    <w:rsid w:val="00D23EE0"/>
    <w:rsid w:val="00D253B6"/>
    <w:rsid w:val="00D322EC"/>
    <w:rsid w:val="00D33B90"/>
    <w:rsid w:val="00D61EA1"/>
    <w:rsid w:val="00D7710B"/>
    <w:rsid w:val="00D77B2E"/>
    <w:rsid w:val="00D80E8A"/>
    <w:rsid w:val="00D92BBF"/>
    <w:rsid w:val="00D96758"/>
    <w:rsid w:val="00DA2E2E"/>
    <w:rsid w:val="00DC0ECB"/>
    <w:rsid w:val="00DD346F"/>
    <w:rsid w:val="00DF030F"/>
    <w:rsid w:val="00E12AAD"/>
    <w:rsid w:val="00E1542E"/>
    <w:rsid w:val="00E17B65"/>
    <w:rsid w:val="00E3152A"/>
    <w:rsid w:val="00E37560"/>
    <w:rsid w:val="00E5335C"/>
    <w:rsid w:val="00E80256"/>
    <w:rsid w:val="00E96F8E"/>
    <w:rsid w:val="00EB7A79"/>
    <w:rsid w:val="00EE75FD"/>
    <w:rsid w:val="00EF7241"/>
    <w:rsid w:val="00F00044"/>
    <w:rsid w:val="00F03455"/>
    <w:rsid w:val="00F17726"/>
    <w:rsid w:val="00F344BE"/>
    <w:rsid w:val="00F36A30"/>
    <w:rsid w:val="00F67375"/>
    <w:rsid w:val="00F7533D"/>
    <w:rsid w:val="00F8288A"/>
    <w:rsid w:val="00F8739C"/>
    <w:rsid w:val="00F87898"/>
    <w:rsid w:val="00F949A0"/>
    <w:rsid w:val="00FA4DE0"/>
    <w:rsid w:val="00FD1FE9"/>
    <w:rsid w:val="00FF1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BDA042"/>
  <w15:docId w15:val="{BC59E7A6-3B25-421B-93DB-940F3F357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51CD"/>
    <w:pPr>
      <w:widowControl w:val="0"/>
      <w:adjustRightInd w:val="0"/>
      <w:spacing w:line="360" w:lineRule="atLeast"/>
      <w:jc w:val="both"/>
      <w:textAlignment w:val="baseline"/>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rsid w:val="008E3960"/>
    <w:pPr>
      <w:tabs>
        <w:tab w:val="left" w:pos="851"/>
        <w:tab w:val="left" w:pos="1701"/>
        <w:tab w:val="left" w:pos="2552"/>
        <w:tab w:val="left" w:pos="3402"/>
        <w:tab w:val="left" w:pos="4253"/>
        <w:tab w:val="left" w:pos="5103"/>
        <w:tab w:val="left" w:pos="5954"/>
        <w:tab w:val="left" w:pos="6804"/>
        <w:tab w:val="left" w:pos="7655"/>
        <w:tab w:val="left" w:pos="8505"/>
      </w:tabs>
      <w:overflowPunct w:val="0"/>
      <w:autoSpaceDE w:val="0"/>
      <w:autoSpaceDN w:val="0"/>
      <w:adjustRightInd w:val="0"/>
      <w:textAlignment w:val="baseline"/>
    </w:pPr>
    <w:rPr>
      <w:rFonts w:ascii="Arial" w:hAnsi="Arial"/>
      <w:sz w:val="22"/>
    </w:rPr>
  </w:style>
  <w:style w:type="paragraph" w:customStyle="1" w:styleId="CharChar">
    <w:name w:val="Char Char"/>
    <w:basedOn w:val="Normln"/>
    <w:rsid w:val="008E3960"/>
    <w:pPr>
      <w:widowControl/>
      <w:adjustRightInd/>
      <w:spacing w:after="160" w:line="240" w:lineRule="exact"/>
      <w:textAlignment w:val="auto"/>
    </w:pPr>
    <w:rPr>
      <w:rFonts w:ascii="Times New Roman Bold" w:hAnsi="Times New Roman Bold"/>
      <w:sz w:val="22"/>
      <w:szCs w:val="26"/>
      <w:lang w:val="sk-SK" w:eastAsia="en-US"/>
    </w:rPr>
  </w:style>
  <w:style w:type="table" w:styleId="Mkatabulky">
    <w:name w:val="Table Grid"/>
    <w:basedOn w:val="Normlntabulka"/>
    <w:rsid w:val="008E3960"/>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semiHidden/>
    <w:rsid w:val="00B448BF"/>
    <w:rPr>
      <w:rFonts w:ascii="Tahoma" w:hAnsi="Tahoma" w:cs="Tahoma"/>
      <w:sz w:val="16"/>
      <w:szCs w:val="16"/>
    </w:rPr>
  </w:style>
  <w:style w:type="paragraph" w:styleId="Odstavecseseznamem">
    <w:name w:val="List Paragraph"/>
    <w:basedOn w:val="Normln"/>
    <w:uiPriority w:val="34"/>
    <w:qFormat/>
    <w:rsid w:val="00F36A30"/>
    <w:pPr>
      <w:widowControl/>
      <w:adjustRightInd/>
      <w:spacing w:line="240" w:lineRule="auto"/>
      <w:ind w:left="720"/>
      <w:jc w:val="left"/>
      <w:textAlignment w:val="auto"/>
    </w:pPr>
    <w:rPr>
      <w:rFonts w:ascii="Calibri" w:eastAsia="Calibri" w:hAnsi="Calibri" w:cs="Calibri"/>
      <w:sz w:val="22"/>
      <w:szCs w:val="22"/>
      <w:lang w:eastAsia="en-US"/>
    </w:rPr>
  </w:style>
  <w:style w:type="character" w:styleId="Odkaznakoment">
    <w:name w:val="annotation reference"/>
    <w:basedOn w:val="Standardnpsmoodstavce"/>
    <w:uiPriority w:val="99"/>
    <w:semiHidden/>
    <w:unhideWhenUsed/>
    <w:rsid w:val="00F36A30"/>
    <w:rPr>
      <w:sz w:val="16"/>
      <w:szCs w:val="16"/>
    </w:rPr>
  </w:style>
  <w:style w:type="paragraph" w:styleId="Textkomente">
    <w:name w:val="annotation text"/>
    <w:basedOn w:val="Normln"/>
    <w:link w:val="TextkomenteChar"/>
    <w:uiPriority w:val="99"/>
    <w:semiHidden/>
    <w:unhideWhenUsed/>
    <w:rsid w:val="00F36A30"/>
    <w:rPr>
      <w:sz w:val="20"/>
      <w:szCs w:val="20"/>
    </w:rPr>
  </w:style>
  <w:style w:type="character" w:customStyle="1" w:styleId="TextkomenteChar">
    <w:name w:val="Text komentáře Char"/>
    <w:basedOn w:val="Standardnpsmoodstavce"/>
    <w:link w:val="Textkomente"/>
    <w:uiPriority w:val="99"/>
    <w:semiHidden/>
    <w:rsid w:val="00F36A30"/>
  </w:style>
  <w:style w:type="paragraph" w:styleId="Pedmtkomente">
    <w:name w:val="annotation subject"/>
    <w:basedOn w:val="Textkomente"/>
    <w:next w:val="Textkomente"/>
    <w:link w:val="PedmtkomenteChar"/>
    <w:uiPriority w:val="99"/>
    <w:semiHidden/>
    <w:unhideWhenUsed/>
    <w:rsid w:val="00F36A30"/>
    <w:rPr>
      <w:b/>
      <w:bCs/>
    </w:rPr>
  </w:style>
  <w:style w:type="character" w:customStyle="1" w:styleId="PedmtkomenteChar">
    <w:name w:val="Předmět komentáře Char"/>
    <w:basedOn w:val="TextkomenteChar"/>
    <w:link w:val="Pedmtkomente"/>
    <w:uiPriority w:val="99"/>
    <w:semiHidden/>
    <w:rsid w:val="00F36A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470767">
      <w:bodyDiv w:val="1"/>
      <w:marLeft w:val="0"/>
      <w:marRight w:val="0"/>
      <w:marTop w:val="0"/>
      <w:marBottom w:val="0"/>
      <w:divBdr>
        <w:top w:val="none" w:sz="0" w:space="0" w:color="auto"/>
        <w:left w:val="none" w:sz="0" w:space="0" w:color="auto"/>
        <w:bottom w:val="none" w:sz="0" w:space="0" w:color="auto"/>
        <w:right w:val="none" w:sz="0" w:space="0" w:color="auto"/>
      </w:divBdr>
    </w:div>
    <w:div w:id="432239844">
      <w:bodyDiv w:val="1"/>
      <w:marLeft w:val="0"/>
      <w:marRight w:val="0"/>
      <w:marTop w:val="0"/>
      <w:marBottom w:val="0"/>
      <w:divBdr>
        <w:top w:val="none" w:sz="0" w:space="0" w:color="auto"/>
        <w:left w:val="none" w:sz="0" w:space="0" w:color="auto"/>
        <w:bottom w:val="none" w:sz="0" w:space="0" w:color="auto"/>
        <w:right w:val="none" w:sz="0" w:space="0" w:color="auto"/>
      </w:divBdr>
    </w:div>
    <w:div w:id="554705497">
      <w:bodyDiv w:val="1"/>
      <w:marLeft w:val="0"/>
      <w:marRight w:val="0"/>
      <w:marTop w:val="0"/>
      <w:marBottom w:val="0"/>
      <w:divBdr>
        <w:top w:val="none" w:sz="0" w:space="0" w:color="auto"/>
        <w:left w:val="none" w:sz="0" w:space="0" w:color="auto"/>
        <w:bottom w:val="none" w:sz="0" w:space="0" w:color="auto"/>
        <w:right w:val="none" w:sz="0" w:space="0" w:color="auto"/>
      </w:divBdr>
    </w:div>
    <w:div w:id="572156882">
      <w:bodyDiv w:val="1"/>
      <w:marLeft w:val="0"/>
      <w:marRight w:val="0"/>
      <w:marTop w:val="0"/>
      <w:marBottom w:val="0"/>
      <w:divBdr>
        <w:top w:val="none" w:sz="0" w:space="0" w:color="auto"/>
        <w:left w:val="none" w:sz="0" w:space="0" w:color="auto"/>
        <w:bottom w:val="none" w:sz="0" w:space="0" w:color="auto"/>
        <w:right w:val="none" w:sz="0" w:space="0" w:color="auto"/>
      </w:divBdr>
    </w:div>
    <w:div w:id="903567450">
      <w:bodyDiv w:val="1"/>
      <w:marLeft w:val="0"/>
      <w:marRight w:val="0"/>
      <w:marTop w:val="0"/>
      <w:marBottom w:val="0"/>
      <w:divBdr>
        <w:top w:val="none" w:sz="0" w:space="0" w:color="auto"/>
        <w:left w:val="none" w:sz="0" w:space="0" w:color="auto"/>
        <w:bottom w:val="none" w:sz="0" w:space="0" w:color="auto"/>
        <w:right w:val="none" w:sz="0" w:space="0" w:color="auto"/>
      </w:divBdr>
      <w:divsChild>
        <w:div w:id="1759130262">
          <w:marLeft w:val="0"/>
          <w:marRight w:val="0"/>
          <w:marTop w:val="0"/>
          <w:marBottom w:val="0"/>
          <w:divBdr>
            <w:top w:val="none" w:sz="0" w:space="0" w:color="auto"/>
            <w:left w:val="none" w:sz="0" w:space="0" w:color="auto"/>
            <w:bottom w:val="none" w:sz="0" w:space="0" w:color="auto"/>
            <w:right w:val="none" w:sz="0" w:space="0" w:color="auto"/>
          </w:divBdr>
        </w:div>
      </w:divsChild>
    </w:div>
    <w:div w:id="1058625307">
      <w:bodyDiv w:val="1"/>
      <w:marLeft w:val="0"/>
      <w:marRight w:val="0"/>
      <w:marTop w:val="0"/>
      <w:marBottom w:val="0"/>
      <w:divBdr>
        <w:top w:val="none" w:sz="0" w:space="0" w:color="auto"/>
        <w:left w:val="none" w:sz="0" w:space="0" w:color="auto"/>
        <w:bottom w:val="none" w:sz="0" w:space="0" w:color="auto"/>
        <w:right w:val="none" w:sz="0" w:space="0" w:color="auto"/>
      </w:divBdr>
    </w:div>
    <w:div w:id="1187057063">
      <w:bodyDiv w:val="1"/>
      <w:marLeft w:val="0"/>
      <w:marRight w:val="0"/>
      <w:marTop w:val="0"/>
      <w:marBottom w:val="0"/>
      <w:divBdr>
        <w:top w:val="none" w:sz="0" w:space="0" w:color="auto"/>
        <w:left w:val="none" w:sz="0" w:space="0" w:color="auto"/>
        <w:bottom w:val="none" w:sz="0" w:space="0" w:color="auto"/>
        <w:right w:val="none" w:sz="0" w:space="0" w:color="auto"/>
      </w:divBdr>
    </w:div>
    <w:div w:id="1272013254">
      <w:bodyDiv w:val="1"/>
      <w:marLeft w:val="0"/>
      <w:marRight w:val="0"/>
      <w:marTop w:val="0"/>
      <w:marBottom w:val="0"/>
      <w:divBdr>
        <w:top w:val="none" w:sz="0" w:space="0" w:color="auto"/>
        <w:left w:val="none" w:sz="0" w:space="0" w:color="auto"/>
        <w:bottom w:val="none" w:sz="0" w:space="0" w:color="auto"/>
        <w:right w:val="none" w:sz="0" w:space="0" w:color="auto"/>
      </w:divBdr>
    </w:div>
    <w:div w:id="1441484220">
      <w:bodyDiv w:val="1"/>
      <w:marLeft w:val="0"/>
      <w:marRight w:val="0"/>
      <w:marTop w:val="0"/>
      <w:marBottom w:val="0"/>
      <w:divBdr>
        <w:top w:val="none" w:sz="0" w:space="0" w:color="auto"/>
        <w:left w:val="none" w:sz="0" w:space="0" w:color="auto"/>
        <w:bottom w:val="none" w:sz="0" w:space="0" w:color="auto"/>
        <w:right w:val="none" w:sz="0" w:space="0" w:color="auto"/>
      </w:divBdr>
    </w:div>
    <w:div w:id="1447655143">
      <w:bodyDiv w:val="1"/>
      <w:marLeft w:val="0"/>
      <w:marRight w:val="0"/>
      <w:marTop w:val="0"/>
      <w:marBottom w:val="0"/>
      <w:divBdr>
        <w:top w:val="none" w:sz="0" w:space="0" w:color="auto"/>
        <w:left w:val="none" w:sz="0" w:space="0" w:color="auto"/>
        <w:bottom w:val="none" w:sz="0" w:space="0" w:color="auto"/>
        <w:right w:val="none" w:sz="0" w:space="0" w:color="auto"/>
      </w:divBdr>
    </w:div>
    <w:div w:id="1475828908">
      <w:bodyDiv w:val="1"/>
      <w:marLeft w:val="0"/>
      <w:marRight w:val="0"/>
      <w:marTop w:val="0"/>
      <w:marBottom w:val="0"/>
      <w:divBdr>
        <w:top w:val="none" w:sz="0" w:space="0" w:color="auto"/>
        <w:left w:val="none" w:sz="0" w:space="0" w:color="auto"/>
        <w:bottom w:val="none" w:sz="0" w:space="0" w:color="auto"/>
        <w:right w:val="none" w:sz="0" w:space="0" w:color="auto"/>
      </w:divBdr>
    </w:div>
    <w:div w:id="1483811088">
      <w:bodyDiv w:val="1"/>
      <w:marLeft w:val="0"/>
      <w:marRight w:val="0"/>
      <w:marTop w:val="0"/>
      <w:marBottom w:val="0"/>
      <w:divBdr>
        <w:top w:val="none" w:sz="0" w:space="0" w:color="auto"/>
        <w:left w:val="none" w:sz="0" w:space="0" w:color="auto"/>
        <w:bottom w:val="none" w:sz="0" w:space="0" w:color="auto"/>
        <w:right w:val="none" w:sz="0" w:space="0" w:color="auto"/>
      </w:divBdr>
    </w:div>
    <w:div w:id="1658341626">
      <w:bodyDiv w:val="1"/>
      <w:marLeft w:val="0"/>
      <w:marRight w:val="0"/>
      <w:marTop w:val="0"/>
      <w:marBottom w:val="0"/>
      <w:divBdr>
        <w:top w:val="none" w:sz="0" w:space="0" w:color="auto"/>
        <w:left w:val="none" w:sz="0" w:space="0" w:color="auto"/>
        <w:bottom w:val="none" w:sz="0" w:space="0" w:color="auto"/>
        <w:right w:val="none" w:sz="0" w:space="0" w:color="auto"/>
      </w:divBdr>
    </w:div>
    <w:div w:id="1736706019">
      <w:bodyDiv w:val="1"/>
      <w:marLeft w:val="0"/>
      <w:marRight w:val="0"/>
      <w:marTop w:val="0"/>
      <w:marBottom w:val="0"/>
      <w:divBdr>
        <w:top w:val="none" w:sz="0" w:space="0" w:color="auto"/>
        <w:left w:val="none" w:sz="0" w:space="0" w:color="auto"/>
        <w:bottom w:val="none" w:sz="0" w:space="0" w:color="auto"/>
        <w:right w:val="none" w:sz="0" w:space="0" w:color="auto"/>
      </w:divBdr>
      <w:divsChild>
        <w:div w:id="260845063">
          <w:marLeft w:val="0"/>
          <w:marRight w:val="0"/>
          <w:marTop w:val="0"/>
          <w:marBottom w:val="0"/>
          <w:divBdr>
            <w:top w:val="none" w:sz="0" w:space="0" w:color="auto"/>
            <w:left w:val="none" w:sz="0" w:space="0" w:color="auto"/>
            <w:bottom w:val="none" w:sz="0" w:space="0" w:color="auto"/>
            <w:right w:val="none" w:sz="0" w:space="0" w:color="auto"/>
          </w:divBdr>
        </w:div>
      </w:divsChild>
    </w:div>
    <w:div w:id="2015642675">
      <w:bodyDiv w:val="1"/>
      <w:marLeft w:val="0"/>
      <w:marRight w:val="0"/>
      <w:marTop w:val="0"/>
      <w:marBottom w:val="0"/>
      <w:divBdr>
        <w:top w:val="none" w:sz="0" w:space="0" w:color="auto"/>
        <w:left w:val="none" w:sz="0" w:space="0" w:color="auto"/>
        <w:bottom w:val="none" w:sz="0" w:space="0" w:color="auto"/>
        <w:right w:val="none" w:sz="0" w:space="0" w:color="auto"/>
      </w:divBdr>
    </w:div>
    <w:div w:id="206911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14010-682B-47B3-9FCA-F89DDACF7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1683</Words>
  <Characters>9936</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1</vt:lpstr>
    </vt:vector>
  </TitlesOfParts>
  <Company>RESPECT,a.s.</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PC200</dc:creator>
  <cp:lastModifiedBy>Murgasova Ivana</cp:lastModifiedBy>
  <cp:revision>7</cp:revision>
  <cp:lastPrinted>2015-07-21T13:24:00Z</cp:lastPrinted>
  <dcterms:created xsi:type="dcterms:W3CDTF">2020-08-17T07:54:00Z</dcterms:created>
  <dcterms:modified xsi:type="dcterms:W3CDTF">2020-08-17T12:17:00Z</dcterms:modified>
</cp:coreProperties>
</file>