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AF6506">
        <w:rPr>
          <w:caps/>
          <w:color w:val="000000"/>
          <w:sz w:val="24"/>
          <w:szCs w:val="24"/>
          <w:lang w:val="cs-CZ"/>
        </w:rPr>
        <w:t xml:space="preserve">tavebních prací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2E4A17">
        <w:rPr>
          <w:rFonts w:ascii="Arial" w:hAnsi="Arial" w:cs="Arial"/>
          <w:sz w:val="20"/>
          <w:szCs w:val="20"/>
        </w:rPr>
        <w:t>a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4A797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zadávacího řízení</w:t>
      </w:r>
      <w:r w:rsidR="00221EC0" w:rsidRPr="00265B10">
        <w:rPr>
          <w:rFonts w:ascii="Arial" w:hAnsi="Arial" w:cs="Arial"/>
          <w:sz w:val="20"/>
          <w:szCs w:val="20"/>
        </w:rPr>
        <w:t>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355E7" w:rsidRPr="005355E7" w:rsidRDefault="005355E7" w:rsidP="005355E7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5355E7">
        <w:rPr>
          <w:rFonts w:ascii="Arial" w:hAnsi="Arial" w:cs="Arial"/>
          <w:sz w:val="20"/>
          <w:szCs w:val="20"/>
        </w:rPr>
        <w:t>eznam min. pět</w:t>
      </w:r>
      <w:r>
        <w:rPr>
          <w:rFonts w:ascii="Arial" w:hAnsi="Arial" w:cs="Arial"/>
          <w:sz w:val="20"/>
          <w:szCs w:val="20"/>
        </w:rPr>
        <w:t>i</w:t>
      </w:r>
      <w:r w:rsidRPr="005355E7">
        <w:rPr>
          <w:rFonts w:ascii="Arial" w:hAnsi="Arial" w:cs="Arial"/>
          <w:sz w:val="20"/>
          <w:szCs w:val="20"/>
        </w:rPr>
        <w:t xml:space="preserve"> (5) významných stavebních prací, kdy významnou stavební prací se rozumí stavební práce spočívající v rozsahu uvedeném níže:</w:t>
      </w:r>
    </w:p>
    <w:p w:rsidR="000D0332" w:rsidRPr="000D0332" w:rsidRDefault="000D0332" w:rsidP="000D0332">
      <w:pPr>
        <w:pStyle w:val="Textodstavce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0D0332">
        <w:rPr>
          <w:rFonts w:ascii="Arial" w:hAnsi="Arial" w:cs="Arial"/>
          <w:sz w:val="20"/>
          <w:szCs w:val="20"/>
        </w:rPr>
        <w:t>3 (tři) práce na zařízení katodové ochrany dle výše uvedeného musí být realizována dodavatelem tzv. v pozici generálního dodavatele (tzn. nikoli poddodavatelsky) a hodnota této práce, tj. odměna dodavatele za poskytnuté práce musí činit nejméně 300 000,- Kč bez DPH</w:t>
      </w:r>
    </w:p>
    <w:p w:rsidR="000D0332" w:rsidRPr="000D0332" w:rsidRDefault="000D0332" w:rsidP="000D0332">
      <w:pPr>
        <w:pStyle w:val="Textodstavce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0D0332">
        <w:rPr>
          <w:rFonts w:ascii="Arial" w:hAnsi="Arial" w:cs="Arial"/>
          <w:sz w:val="20"/>
          <w:szCs w:val="20"/>
        </w:rPr>
        <w:t>2 (dvě) práce na elektrickém zařízení v prostředí hořlavých plynů a par dle výše uvedeného musí být realizována dodavatelem tzv. v pozici generálního dodavatele (tzn. nikoli poddodavatelsky) a hodnota této práce, tj. odměna dodavatele za poskytnuté práce musí činit nejméně 400 000,- Kč bez DPH</w:t>
      </w: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453FE" w:rsidRPr="00F453FE" w:rsidRDefault="00F453FE" w:rsidP="00F453FE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F453FE">
        <w:rPr>
          <w:rFonts w:ascii="Arial" w:hAnsi="Arial" w:cs="Arial"/>
          <w:sz w:val="20"/>
          <w:szCs w:val="20"/>
        </w:rPr>
        <w:t>Dodavatel musí zároveň u min. výše uvedených 5 významných stavebních prací doložit osvědčení objednatele o řádném poskytnutí a dokončení těchto prací. Rovnocenným dokladem ve smyslu § 79 odst. 5 zákona k prokázání technické kvalifikace je též smlouva s objednatelem a doklad o uskutečnění plnění dodavatele.</w:t>
      </w:r>
    </w:p>
    <w:p w:rsidR="004A378A" w:rsidRDefault="004A378A" w:rsidP="00F453FE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65266D" w:rsidRDefault="0065266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0D0332" w:rsidRDefault="000D0332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09274D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 xml:space="preserve">dodavatele, </w:t>
            </w:r>
            <w:r w:rsidR="00721602">
              <w:rPr>
                <w:bCs/>
                <w:sz w:val="20"/>
                <w:szCs w:val="20"/>
              </w:rPr>
              <w:t xml:space="preserve"> je</w:t>
            </w:r>
            <w:proofErr w:type="gramEnd"/>
            <w:r w:rsidR="00721602">
              <w:rPr>
                <w:bCs/>
                <w:sz w:val="20"/>
                <w:szCs w:val="20"/>
              </w:rPr>
              <w:t xml:space="preserve">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stavební práce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F65ED6" w:rsidRPr="00265B10" w:rsidRDefault="0009274D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395014">
              <w:rPr>
                <w:sz w:val="20"/>
                <w:szCs w:val="20"/>
              </w:rPr>
              <w:t xml:space="preserve">stavební práce  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358D9" w:rsidRDefault="008358D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:rsidTr="002C1FDA">
        <w:trPr>
          <w:cantSplit/>
        </w:trPr>
        <w:tc>
          <w:tcPr>
            <w:tcW w:w="9070" w:type="dxa"/>
            <w:gridSpan w:val="2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</w:t>
            </w:r>
            <w:r w:rsidR="001A46C2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:rsidTr="002C1FDA">
        <w:trPr>
          <w:cantSplit/>
          <w:trHeight w:val="697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>stavební práce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4A7970" w:rsidRPr="00265B10" w:rsidRDefault="001A46C2" w:rsidP="00495EA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  <w:trHeight w:val="2320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Pr="00265B10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:rsidTr="002C1FDA">
        <w:trPr>
          <w:cantSplit/>
        </w:trPr>
        <w:tc>
          <w:tcPr>
            <w:tcW w:w="9070" w:type="dxa"/>
            <w:gridSpan w:val="2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r w:rsidR="001A46C2">
              <w:rPr>
                <w:b/>
                <w:bCs/>
                <w:caps/>
                <w:sz w:val="20"/>
                <w:szCs w:val="20"/>
              </w:rPr>
              <w:t>STAVEBNÍ PRÁCE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:rsidTr="002C1FDA">
        <w:trPr>
          <w:cantSplit/>
          <w:trHeight w:val="697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 xml:space="preserve">stavební práce  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4A7970" w:rsidRPr="00265B10" w:rsidRDefault="001A46C2" w:rsidP="002139B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  <w:trHeight w:val="2320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6330CC" w:rsidRPr="00265B10" w:rsidTr="00FC203D">
        <w:trPr>
          <w:cantSplit/>
        </w:trPr>
        <w:tc>
          <w:tcPr>
            <w:tcW w:w="9070" w:type="dxa"/>
            <w:gridSpan w:val="2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>I</w:t>
            </w:r>
            <w:r>
              <w:rPr>
                <w:b/>
                <w:bCs/>
                <w:caps/>
                <w:sz w:val="20"/>
                <w:szCs w:val="20"/>
              </w:rPr>
              <w:t>V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>významná STAVEBNÍ PRÁCE</w:t>
            </w: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330CC" w:rsidRPr="00265B10" w:rsidTr="00FC203D">
        <w:trPr>
          <w:cantSplit/>
          <w:trHeight w:val="697"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stavební práce  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6330CC" w:rsidRPr="00265B10" w:rsidRDefault="006330CC" w:rsidP="00117FB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stavební práce 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stavební práce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  <w:trHeight w:val="2320"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6330CC" w:rsidRPr="00265B10" w:rsidRDefault="006330CC" w:rsidP="006330CC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6330CC" w:rsidRPr="00265B10" w:rsidTr="00FC203D">
        <w:trPr>
          <w:cantSplit/>
        </w:trPr>
        <w:tc>
          <w:tcPr>
            <w:tcW w:w="9070" w:type="dxa"/>
            <w:gridSpan w:val="2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V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>významná STAVEBNÍ PRÁCE</w:t>
            </w: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330CC" w:rsidRPr="00265B10" w:rsidTr="00FC203D">
        <w:trPr>
          <w:cantSplit/>
          <w:trHeight w:val="697"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65E27">
              <w:rPr>
                <w:b/>
                <w:bCs/>
                <w:sz w:val="20"/>
                <w:szCs w:val="20"/>
              </w:rPr>
            </w:r>
            <w:r w:rsidR="00E65E27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stavební práce  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6330CC" w:rsidRPr="00265B10" w:rsidRDefault="006330CC" w:rsidP="00CD67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stavební práce </w:t>
            </w: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</w:trPr>
        <w:tc>
          <w:tcPr>
            <w:tcW w:w="3310" w:type="dxa"/>
          </w:tcPr>
          <w:p w:rsidR="006330CC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stavební práce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:rsidTr="00FC203D">
        <w:trPr>
          <w:cantSplit/>
          <w:trHeight w:val="2320"/>
        </w:trPr>
        <w:tc>
          <w:tcPr>
            <w:tcW w:w="331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6330CC" w:rsidRPr="00265B10" w:rsidRDefault="006330CC" w:rsidP="00FC203D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6330CC" w:rsidRPr="00265B10" w:rsidRDefault="006330CC" w:rsidP="006330CC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Pr="00265B10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lastRenderedPageBreak/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zadávacího řízení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27" w:rsidRDefault="00E65E27" w:rsidP="00255D66">
      <w:r>
        <w:separator/>
      </w:r>
    </w:p>
  </w:endnote>
  <w:endnote w:type="continuationSeparator" w:id="0">
    <w:p w:rsidR="00E65E27" w:rsidRDefault="00E65E27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0332">
      <w:rPr>
        <w:rStyle w:val="slostrnky"/>
        <w:noProof/>
      </w:rPr>
      <w:t>6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27" w:rsidRDefault="00E65E27" w:rsidP="00255D66">
      <w:r>
        <w:separator/>
      </w:r>
    </w:p>
  </w:footnote>
  <w:footnote w:type="continuationSeparator" w:id="0">
    <w:p w:rsidR="00E65E27" w:rsidRDefault="00E65E27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00" w:rsidRPr="00962DBB" w:rsidRDefault="00DD6000" w:rsidP="007B1699">
    <w:pPr>
      <w:pStyle w:val="Zhlav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A31A13" w:rsidRPr="00962DBB">
      <w:rPr>
        <w:rFonts w:ascii="Arial" w:hAnsi="Arial" w:cs="Arial"/>
        <w:sz w:val="20"/>
        <w:szCs w:val="20"/>
      </w:rPr>
      <w:t>5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F53292" w:rsidRPr="00F53292">
      <w:rPr>
        <w:rFonts w:ascii="Arial" w:hAnsi="Arial" w:cs="Arial"/>
        <w:sz w:val="20"/>
        <w:szCs w:val="20"/>
      </w:rPr>
      <w:t>Oprava katodové ochrany a elektroinstalace armaturních šachet na trasách produktovodů ČEPRO, a.s.</w:t>
    </w:r>
    <w:r w:rsidR="00B5238F">
      <w:rPr>
        <w:rFonts w:ascii="Arial" w:hAnsi="Arial" w:cs="Arial"/>
        <w:sz w:val="20"/>
        <w:szCs w:val="20"/>
      </w:rPr>
      <w:t>“</w:t>
    </w:r>
  </w:p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4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3"/>
  </w:num>
  <w:num w:numId="6">
    <w:abstractNumId w:val="0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4"/>
  </w:num>
  <w:num w:numId="12">
    <w:abstractNumId w:val="5"/>
  </w:num>
  <w:num w:numId="13">
    <w:abstractNumId w:val="2"/>
  </w:num>
  <w:num w:numId="14">
    <w:abstractNumId w:val="10"/>
  </w:num>
  <w:num w:numId="15">
    <w:abstractNumId w:val="13"/>
  </w:num>
  <w:num w:numId="16">
    <w:abstractNumId w:val="6"/>
  </w:num>
  <w:num w:numId="17">
    <w:abstractNumId w:val="15"/>
  </w:num>
  <w:num w:numId="18">
    <w:abstractNumId w:val="7"/>
  </w:num>
  <w:num w:numId="19">
    <w:abstractNumId w:val="13"/>
  </w:num>
  <w:num w:numId="20">
    <w:abstractNumId w:val="13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A3A46"/>
    <w:rsid w:val="000B60C3"/>
    <w:rsid w:val="000C5AEB"/>
    <w:rsid w:val="000D0332"/>
    <w:rsid w:val="000D407E"/>
    <w:rsid w:val="000E1536"/>
    <w:rsid w:val="000F6E00"/>
    <w:rsid w:val="001047FF"/>
    <w:rsid w:val="00117FB1"/>
    <w:rsid w:val="00143F41"/>
    <w:rsid w:val="00163DE9"/>
    <w:rsid w:val="001A46C2"/>
    <w:rsid w:val="001B1FC0"/>
    <w:rsid w:val="001C6FBD"/>
    <w:rsid w:val="001D01CE"/>
    <w:rsid w:val="001E0772"/>
    <w:rsid w:val="00202360"/>
    <w:rsid w:val="002139B5"/>
    <w:rsid w:val="00221E99"/>
    <w:rsid w:val="00221EC0"/>
    <w:rsid w:val="00226281"/>
    <w:rsid w:val="0023284F"/>
    <w:rsid w:val="00240556"/>
    <w:rsid w:val="00250E5D"/>
    <w:rsid w:val="00255D66"/>
    <w:rsid w:val="00265B10"/>
    <w:rsid w:val="00267A68"/>
    <w:rsid w:val="00293995"/>
    <w:rsid w:val="002B139A"/>
    <w:rsid w:val="002B3133"/>
    <w:rsid w:val="002C1FDA"/>
    <w:rsid w:val="002D4402"/>
    <w:rsid w:val="002E4A17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351D"/>
    <w:rsid w:val="00467B70"/>
    <w:rsid w:val="00495EA3"/>
    <w:rsid w:val="004A1CF5"/>
    <w:rsid w:val="004A378A"/>
    <w:rsid w:val="004A7970"/>
    <w:rsid w:val="004E0DA9"/>
    <w:rsid w:val="005279B5"/>
    <w:rsid w:val="005355E7"/>
    <w:rsid w:val="0054645C"/>
    <w:rsid w:val="005A0854"/>
    <w:rsid w:val="005C4AB6"/>
    <w:rsid w:val="0061259A"/>
    <w:rsid w:val="006330CC"/>
    <w:rsid w:val="0065266D"/>
    <w:rsid w:val="006672E5"/>
    <w:rsid w:val="0067538C"/>
    <w:rsid w:val="00690A6E"/>
    <w:rsid w:val="00691070"/>
    <w:rsid w:val="0069303B"/>
    <w:rsid w:val="006B3B8A"/>
    <w:rsid w:val="006C6283"/>
    <w:rsid w:val="006E7DB7"/>
    <w:rsid w:val="00713EAB"/>
    <w:rsid w:val="00721602"/>
    <w:rsid w:val="00745065"/>
    <w:rsid w:val="00750193"/>
    <w:rsid w:val="00763C12"/>
    <w:rsid w:val="00773786"/>
    <w:rsid w:val="00784554"/>
    <w:rsid w:val="007B1699"/>
    <w:rsid w:val="007B25B1"/>
    <w:rsid w:val="007E050F"/>
    <w:rsid w:val="007F6018"/>
    <w:rsid w:val="008358D9"/>
    <w:rsid w:val="00883847"/>
    <w:rsid w:val="00884FA3"/>
    <w:rsid w:val="0089727A"/>
    <w:rsid w:val="008B2DAD"/>
    <w:rsid w:val="008C586D"/>
    <w:rsid w:val="008F4417"/>
    <w:rsid w:val="00925079"/>
    <w:rsid w:val="00942CB1"/>
    <w:rsid w:val="009438AF"/>
    <w:rsid w:val="00951362"/>
    <w:rsid w:val="00956D5B"/>
    <w:rsid w:val="00962DBB"/>
    <w:rsid w:val="00963D3B"/>
    <w:rsid w:val="009E5575"/>
    <w:rsid w:val="00A058AE"/>
    <w:rsid w:val="00A31A13"/>
    <w:rsid w:val="00A3762D"/>
    <w:rsid w:val="00A55BF1"/>
    <w:rsid w:val="00A62FA3"/>
    <w:rsid w:val="00A8197C"/>
    <w:rsid w:val="00AE7701"/>
    <w:rsid w:val="00AF3771"/>
    <w:rsid w:val="00AF6506"/>
    <w:rsid w:val="00B12702"/>
    <w:rsid w:val="00B40EA7"/>
    <w:rsid w:val="00B5238F"/>
    <w:rsid w:val="00B53C80"/>
    <w:rsid w:val="00B53E2A"/>
    <w:rsid w:val="00B55E54"/>
    <w:rsid w:val="00B6140E"/>
    <w:rsid w:val="00BB03DE"/>
    <w:rsid w:val="00BB7113"/>
    <w:rsid w:val="00BC76FF"/>
    <w:rsid w:val="00BD2F8F"/>
    <w:rsid w:val="00BD6ABD"/>
    <w:rsid w:val="00BF02C0"/>
    <w:rsid w:val="00C40C93"/>
    <w:rsid w:val="00C46CB0"/>
    <w:rsid w:val="00C93FDD"/>
    <w:rsid w:val="00CC0645"/>
    <w:rsid w:val="00CC11FE"/>
    <w:rsid w:val="00CC2F69"/>
    <w:rsid w:val="00CD67D8"/>
    <w:rsid w:val="00CE7422"/>
    <w:rsid w:val="00D0288B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D15DA"/>
    <w:rsid w:val="00DD6000"/>
    <w:rsid w:val="00E05937"/>
    <w:rsid w:val="00E1497E"/>
    <w:rsid w:val="00E249DD"/>
    <w:rsid w:val="00E43E51"/>
    <w:rsid w:val="00E65E27"/>
    <w:rsid w:val="00EA1602"/>
    <w:rsid w:val="00EA41B3"/>
    <w:rsid w:val="00EA4AEC"/>
    <w:rsid w:val="00EC6AEE"/>
    <w:rsid w:val="00ED29F5"/>
    <w:rsid w:val="00F05D6B"/>
    <w:rsid w:val="00F06FCF"/>
    <w:rsid w:val="00F43378"/>
    <w:rsid w:val="00F453FE"/>
    <w:rsid w:val="00F53292"/>
    <w:rsid w:val="00F65ED6"/>
    <w:rsid w:val="00F76BC9"/>
    <w:rsid w:val="00F8532D"/>
    <w:rsid w:val="00F924C5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1374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26</cp:revision>
  <cp:lastPrinted>2012-03-29T07:51:00Z</cp:lastPrinted>
  <dcterms:created xsi:type="dcterms:W3CDTF">2017-01-16T08:17:00Z</dcterms:created>
  <dcterms:modified xsi:type="dcterms:W3CDTF">2018-02-12T07:12:00Z</dcterms:modified>
</cp:coreProperties>
</file>