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43FDFF" wp14:editId="5573D822">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923E33">
        <w:t>Dodávka potrubí DN 300, PN 63</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923E33">
        <w:rPr>
          <w:sz w:val="32"/>
          <w:szCs w:val="32"/>
        </w:rPr>
        <w:t>128</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5F4EF1"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C47F9E">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811DCD"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64059" w:rsidP="00240687">
            <w:pPr>
              <w:overflowPunct w:val="0"/>
              <w:autoSpaceDE w:val="0"/>
              <w:autoSpaceDN w:val="0"/>
              <w:adjustRightInd w:val="0"/>
              <w:textAlignment w:val="baseline"/>
              <w:rPr>
                <w:rFonts w:cs="Arial"/>
              </w:rPr>
            </w:pPr>
            <w:r>
              <w:t>Ing. Petr Čekal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64059" w:rsidP="008E7905">
            <w:pPr>
              <w:overflowPunct w:val="0"/>
              <w:autoSpaceDE w:val="0"/>
              <w:autoSpaceDN w:val="0"/>
              <w:adjustRightInd w:val="0"/>
              <w:textAlignment w:val="baseline"/>
              <w:rPr>
                <w:rFonts w:cs="Arial"/>
              </w:rPr>
            </w:pPr>
            <w:r>
              <w:t>739 240 675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811DCD" w:rsidP="00564059">
            <w:pPr>
              <w:jc w:val="left"/>
              <w:rPr>
                <w:rFonts w:cs="Arial"/>
              </w:rPr>
            </w:pPr>
            <w:hyperlink r:id="rId11" w:history="1">
              <w:r w:rsidR="00564059" w:rsidRPr="00EF3082">
                <w:rPr>
                  <w:rStyle w:val="Hypertextovodkaz"/>
                </w:rPr>
                <w:t>petr.cekal@ceproas.cz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8E0BE6">
        <w:t xml:space="preserve">zajištění </w:t>
      </w:r>
      <w:r w:rsidR="00564059">
        <w:t xml:space="preserve">dodávky </w:t>
      </w:r>
      <w:r w:rsidR="00923E33">
        <w:t>300 metrů</w:t>
      </w:r>
      <w:r w:rsidR="00564059">
        <w:t xml:space="preserve"> </w:t>
      </w:r>
      <w:r w:rsidR="00923E33">
        <w:t>potrubí</w:t>
      </w:r>
      <w:r w:rsidR="00564059">
        <w:t xml:space="preserve"> </w:t>
      </w:r>
      <w:r w:rsidR="00923E33">
        <w:t xml:space="preserve">DN 300, PN 63 </w:t>
      </w:r>
      <w:r w:rsidR="00564059">
        <w:t>(dále též je</w:t>
      </w:r>
      <w:r w:rsidR="00923E33">
        <w:t>n</w:t>
      </w:r>
      <w:r w:rsidR="00564059">
        <w:t xml:space="preserve"> „</w:t>
      </w:r>
      <w:r w:rsidR="00923E33">
        <w:t>potrubí</w:t>
      </w:r>
      <w:r w:rsidR="00564059">
        <w:t>“)</w:t>
      </w:r>
      <w:r w:rsidR="008E0BE6">
        <w:t xml:space="preserve">, </w:t>
      </w:r>
      <w:r w:rsidR="00564059">
        <w:t>které budou splňovat následující parametry:</w:t>
      </w:r>
    </w:p>
    <w:p w:rsidR="0063101F" w:rsidRDefault="00923E33" w:rsidP="00725544">
      <w:pPr>
        <w:pStyle w:val="Odstavecseseznamem"/>
        <w:numPr>
          <w:ilvl w:val="0"/>
          <w:numId w:val="30"/>
        </w:numPr>
        <w:spacing w:line="240" w:lineRule="exact"/>
        <w:ind w:left="714" w:hanging="357"/>
      </w:pPr>
      <w:r>
        <w:t>potrubí DN 300, PN 63</w:t>
      </w:r>
    </w:p>
    <w:p w:rsidR="00923E33" w:rsidRDefault="00923E33" w:rsidP="00725544">
      <w:pPr>
        <w:pStyle w:val="Odstavecseseznamem"/>
        <w:numPr>
          <w:ilvl w:val="0"/>
          <w:numId w:val="30"/>
        </w:numPr>
        <w:spacing w:line="240" w:lineRule="exact"/>
        <w:ind w:left="714" w:hanging="357"/>
      </w:pPr>
      <w:r>
        <w:t>trubka bezešvá, hladká (nesvařovaná)</w:t>
      </w:r>
    </w:p>
    <w:p w:rsidR="00923E33" w:rsidRDefault="00923E33" w:rsidP="00725544">
      <w:pPr>
        <w:pStyle w:val="Odstavecseseznamem"/>
        <w:numPr>
          <w:ilvl w:val="0"/>
          <w:numId w:val="30"/>
        </w:numPr>
        <w:spacing w:line="240" w:lineRule="exact"/>
        <w:ind w:left="714" w:hanging="357"/>
      </w:pPr>
      <w:r>
        <w:t xml:space="preserve">rozměr </w:t>
      </w:r>
      <w:r>
        <w:tab/>
      </w:r>
      <w:r>
        <w:tab/>
        <w:t>323,9 x 8 mm</w:t>
      </w:r>
    </w:p>
    <w:p w:rsidR="00923E33" w:rsidRDefault="00923E33" w:rsidP="00725544">
      <w:pPr>
        <w:pStyle w:val="Odstavecseseznamem"/>
        <w:numPr>
          <w:ilvl w:val="0"/>
          <w:numId w:val="30"/>
        </w:numPr>
        <w:spacing w:line="240" w:lineRule="exact"/>
        <w:ind w:left="714" w:hanging="357"/>
      </w:pPr>
      <w:r>
        <w:t xml:space="preserve">materiál </w:t>
      </w:r>
      <w:r>
        <w:tab/>
        <w:t>L 360 NB dle normy API 5L a ČSN EN ISO 3183</w:t>
      </w:r>
    </w:p>
    <w:p w:rsidR="00923E33" w:rsidRDefault="00923E33" w:rsidP="00725544">
      <w:pPr>
        <w:pStyle w:val="Odstavecseseznamem"/>
        <w:numPr>
          <w:ilvl w:val="0"/>
          <w:numId w:val="30"/>
        </w:numPr>
        <w:spacing w:line="240" w:lineRule="exact"/>
        <w:ind w:left="714" w:hanging="357"/>
      </w:pPr>
      <w:proofErr w:type="gramStart"/>
      <w:r>
        <w:t>trubka s 3-vrstvou</w:t>
      </w:r>
      <w:proofErr w:type="gramEnd"/>
      <w:r>
        <w:t xml:space="preserve"> PE izolací dle DIN 30670</w:t>
      </w:r>
    </w:p>
    <w:p w:rsidR="00923E33" w:rsidRDefault="00923E33" w:rsidP="00725544">
      <w:pPr>
        <w:pStyle w:val="Odstavecseseznamem"/>
        <w:numPr>
          <w:ilvl w:val="0"/>
          <w:numId w:val="30"/>
        </w:numPr>
        <w:spacing w:line="240" w:lineRule="exact"/>
        <w:ind w:left="714" w:hanging="357"/>
      </w:pPr>
      <w:r>
        <w:t xml:space="preserve">délka trubky </w:t>
      </w:r>
      <w:r>
        <w:tab/>
        <w:t>12 metrů</w:t>
      </w:r>
    </w:p>
    <w:p w:rsidR="00923E33" w:rsidRDefault="00923E33" w:rsidP="00725544">
      <w:pPr>
        <w:pStyle w:val="Odstavecseseznamem"/>
        <w:numPr>
          <w:ilvl w:val="0"/>
          <w:numId w:val="30"/>
        </w:numPr>
        <w:spacing w:line="240" w:lineRule="exact"/>
        <w:ind w:left="714" w:hanging="357"/>
      </w:pPr>
      <w:r>
        <w:t xml:space="preserve">počet kusů </w:t>
      </w:r>
      <w:r>
        <w:tab/>
        <w:t>25</w:t>
      </w:r>
    </w:p>
    <w:p w:rsidR="00AF26B7" w:rsidRPr="003A18E7" w:rsidRDefault="001E6717" w:rsidP="003A18E7">
      <w:pPr>
        <w:pStyle w:val="05-ODST-3"/>
        <w:rPr>
          <w:b/>
        </w:rPr>
      </w:pPr>
      <w:r w:rsidRPr="003A18E7">
        <w:rPr>
          <w:b/>
        </w:rPr>
        <w:t>Dodavatel</w:t>
      </w:r>
      <w:r w:rsidR="00AF26B7" w:rsidRPr="003A18E7">
        <w:rPr>
          <w:b/>
        </w:rPr>
        <w:t xml:space="preserve"> </w:t>
      </w:r>
      <w:r w:rsidR="003A18E7">
        <w:rPr>
          <w:b/>
        </w:rPr>
        <w:t xml:space="preserve">společně se zařízením </w:t>
      </w:r>
      <w:r w:rsidR="00AF26B7" w:rsidRPr="003A18E7">
        <w:rPr>
          <w:b/>
        </w:rPr>
        <w:t>předá zadavateli tuto dokumentaci:</w:t>
      </w:r>
    </w:p>
    <w:p w:rsidR="00AF26B7" w:rsidRPr="00D41AC3" w:rsidRDefault="00AF26B7" w:rsidP="00725544">
      <w:pPr>
        <w:pStyle w:val="Odstavecseseznamem"/>
        <w:numPr>
          <w:ilvl w:val="0"/>
          <w:numId w:val="5"/>
        </w:numPr>
        <w:spacing w:line="240" w:lineRule="exact"/>
        <w:ind w:left="714" w:hanging="357"/>
      </w:pPr>
      <w:r>
        <w:t xml:space="preserve">prohlášení o shodě ve smyslu § 13 odst. 2 zákona č. 22/1997 Sb., o technických požadavcích na </w:t>
      </w:r>
      <w:r w:rsidRPr="00D41AC3">
        <w:t xml:space="preserve">výrobky a o změně a doplnění některých zákonů, v platném znění </w:t>
      </w:r>
    </w:p>
    <w:p w:rsidR="00B07963" w:rsidRPr="00D41AC3" w:rsidRDefault="00923E33" w:rsidP="00725544">
      <w:pPr>
        <w:pStyle w:val="Odstavecseseznamem"/>
        <w:numPr>
          <w:ilvl w:val="0"/>
          <w:numId w:val="5"/>
        </w:numPr>
        <w:spacing w:line="240" w:lineRule="exact"/>
        <w:ind w:left="714" w:hanging="357"/>
      </w:pPr>
      <w:r>
        <w:t>materiálové</w:t>
      </w:r>
      <w:r w:rsidR="00B07963" w:rsidRPr="00D41AC3">
        <w:t xml:space="preserve"> listy k dodanému </w:t>
      </w:r>
      <w:r w:rsidR="00B4468A" w:rsidRPr="00D41AC3">
        <w:t>zařízení</w:t>
      </w:r>
    </w:p>
    <w:p w:rsidR="005F2EC3" w:rsidRDefault="00923E33" w:rsidP="00725544">
      <w:pPr>
        <w:pStyle w:val="Odstavecseseznamem"/>
        <w:numPr>
          <w:ilvl w:val="0"/>
          <w:numId w:val="5"/>
        </w:numPr>
        <w:spacing w:line="240" w:lineRule="exact"/>
        <w:ind w:left="714" w:hanging="357"/>
      </w:pPr>
      <w:r>
        <w:t xml:space="preserve">protokol o výstupní kontrole každé části dodávky dle požadavků uvedených v bodě </w:t>
      </w:r>
      <w:r w:rsidR="00725544">
        <w:t>1.3.2</w:t>
      </w:r>
      <w:r>
        <w:t xml:space="preserve"> </w:t>
      </w:r>
      <w:proofErr w:type="spellStart"/>
      <w:r w:rsidR="005F4EF1">
        <w:t>ttéo</w:t>
      </w:r>
      <w:proofErr w:type="spellEnd"/>
      <w:r w:rsidR="005F4EF1">
        <w:t xml:space="preserve"> zadávací dokumentace </w:t>
      </w:r>
      <w:r w:rsidR="00C34654">
        <w:t xml:space="preserve">- </w:t>
      </w:r>
      <w:r w:rsidR="00725544">
        <w:t>Požadavky na kvalitu potrubí</w:t>
      </w:r>
    </w:p>
    <w:p w:rsidR="00923E33" w:rsidRDefault="00923E33" w:rsidP="00725544">
      <w:pPr>
        <w:pStyle w:val="Odstavecseseznamem"/>
        <w:numPr>
          <w:ilvl w:val="0"/>
          <w:numId w:val="5"/>
        </w:numPr>
        <w:spacing w:line="240" w:lineRule="exact"/>
        <w:ind w:left="714" w:hanging="357"/>
      </w:pPr>
      <w:r>
        <w:t>specifickou atestovou dokumentaci dle EN 10204 3.1 obsahující výsledky zkoušek podle ČSN EN ISO 3183</w:t>
      </w:r>
    </w:p>
    <w:p w:rsidR="00C56840" w:rsidRDefault="00C56840" w:rsidP="00725544">
      <w:pPr>
        <w:pStyle w:val="Odstavecseseznamem"/>
        <w:numPr>
          <w:ilvl w:val="0"/>
          <w:numId w:val="5"/>
        </w:numPr>
        <w:spacing w:line="240" w:lineRule="exact"/>
        <w:ind w:left="714" w:hanging="357"/>
      </w:pPr>
      <w:r>
        <w:t>dodací list a předávací protokol</w:t>
      </w:r>
    </w:p>
    <w:p w:rsidR="00C56840" w:rsidRDefault="00C56840" w:rsidP="00725544">
      <w:pPr>
        <w:pStyle w:val="Odstavecseseznamem"/>
        <w:numPr>
          <w:ilvl w:val="0"/>
          <w:numId w:val="5"/>
        </w:numPr>
        <w:spacing w:line="240" w:lineRule="exact"/>
        <w:ind w:left="714" w:hanging="357"/>
      </w:pPr>
      <w:r>
        <w:t>atesty, certifikáty a osvědčení o jakosti zařízení</w:t>
      </w:r>
    </w:p>
    <w:p w:rsidR="00AF26B7" w:rsidRDefault="00C56840" w:rsidP="00725544">
      <w:pPr>
        <w:pStyle w:val="Odrky2rove"/>
        <w:numPr>
          <w:ilvl w:val="0"/>
          <w:numId w:val="5"/>
        </w:numPr>
        <w:spacing w:line="240" w:lineRule="exact"/>
        <w:ind w:left="714" w:hanging="357"/>
      </w:pPr>
      <w:r>
        <w:t>další potřebné dokumenty dle právních a technických předpisů</w:t>
      </w:r>
      <w:r w:rsidR="00AF26B7">
        <w:t xml:space="preserve"> </w:t>
      </w:r>
      <w:r>
        <w:t>vydaných a platných v České republice</w:t>
      </w:r>
    </w:p>
    <w:p w:rsidR="00725544" w:rsidRDefault="00C34654" w:rsidP="00725544">
      <w:pPr>
        <w:pStyle w:val="05-ODST-3"/>
        <w:rPr>
          <w:b/>
        </w:rPr>
      </w:pPr>
      <w:r>
        <w:rPr>
          <w:b/>
        </w:rPr>
        <w:t>P</w:t>
      </w:r>
      <w:r w:rsidR="00725544">
        <w:rPr>
          <w:b/>
        </w:rPr>
        <w:t>ožadavky na kvalitu potrubí</w:t>
      </w:r>
      <w:r w:rsidR="00725544" w:rsidRPr="003A18E7">
        <w:rPr>
          <w:b/>
        </w:rPr>
        <w:t>:</w:t>
      </w:r>
    </w:p>
    <w:p w:rsidR="00725544" w:rsidRDefault="00725544" w:rsidP="00725544">
      <w:pPr>
        <w:pStyle w:val="05-ODST-3"/>
        <w:numPr>
          <w:ilvl w:val="0"/>
          <w:numId w:val="31"/>
        </w:numPr>
        <w:spacing w:before="0" w:line="240" w:lineRule="exact"/>
        <w:ind w:left="1003" w:hanging="357"/>
      </w:pPr>
      <w:r w:rsidRPr="00725544">
        <w:t>jakost materiálu</w:t>
      </w:r>
      <w:r w:rsidRPr="00725544">
        <w:tab/>
      </w:r>
      <w:r>
        <w:t>min. mez kluzu 350MPa (L 360 MB)</w:t>
      </w:r>
    </w:p>
    <w:p w:rsidR="00725544" w:rsidRDefault="00725544" w:rsidP="00725544">
      <w:pPr>
        <w:pStyle w:val="05-ODST-3"/>
        <w:numPr>
          <w:ilvl w:val="0"/>
          <w:numId w:val="31"/>
        </w:numPr>
        <w:spacing w:before="0" w:line="240" w:lineRule="exact"/>
        <w:ind w:left="1003" w:hanging="357"/>
      </w:pPr>
      <w:r>
        <w:t xml:space="preserve">uklidněná ocel vhodná pro výrobu trubkových kolen ohýbáním z trubek zastudena </w:t>
      </w:r>
    </w:p>
    <w:p w:rsidR="00725544" w:rsidRDefault="00725544" w:rsidP="00725544">
      <w:pPr>
        <w:pStyle w:val="05-ODST-3"/>
        <w:numPr>
          <w:ilvl w:val="0"/>
          <w:numId w:val="31"/>
        </w:numPr>
        <w:spacing w:before="0" w:line="240" w:lineRule="exact"/>
        <w:ind w:left="1003" w:hanging="357"/>
      </w:pPr>
      <w:r>
        <w:lastRenderedPageBreak/>
        <w:t>ocel určená ke svařování s chemickým složením respektující požadavek normy ČSN EN 14161 na maximální uhlíkový ekvivalent CE</w:t>
      </w:r>
    </w:p>
    <w:p w:rsidR="00725544" w:rsidRDefault="00725544" w:rsidP="00725544">
      <w:pPr>
        <w:pStyle w:val="05-ODST-3"/>
        <w:numPr>
          <w:ilvl w:val="0"/>
          <w:numId w:val="31"/>
        </w:numPr>
        <w:spacing w:before="0" w:line="240" w:lineRule="exact"/>
        <w:ind w:left="1003" w:hanging="357"/>
      </w:pPr>
      <w:r>
        <w:t>protikorozní izolace z tvrdého PE (zesílená  - 3 vrstvy)</w:t>
      </w:r>
    </w:p>
    <w:p w:rsidR="00C34654" w:rsidRDefault="00C34654" w:rsidP="00C34654">
      <w:pPr>
        <w:pStyle w:val="05-ODST-3"/>
        <w:numPr>
          <w:ilvl w:val="0"/>
          <w:numId w:val="0"/>
        </w:numPr>
        <w:spacing w:before="0" w:line="240" w:lineRule="exact"/>
        <w:ind w:left="646"/>
      </w:pPr>
    </w:p>
    <w:p w:rsidR="00C34654" w:rsidRDefault="00C34654" w:rsidP="00C34654">
      <w:pPr>
        <w:pStyle w:val="05-ODST-3"/>
        <w:numPr>
          <w:ilvl w:val="0"/>
          <w:numId w:val="0"/>
        </w:numPr>
        <w:spacing w:before="0" w:line="240" w:lineRule="exact"/>
        <w:ind w:left="646"/>
      </w:pPr>
      <w:r>
        <w:t>Dodavatel provede před dodáním potrubí zadavateli výstupní kontrolu, o jejímž provedení vyhotoví a zadavateli předá protokol o výstupní kontrole s následujícími údaji:</w:t>
      </w:r>
    </w:p>
    <w:p w:rsidR="00C34654" w:rsidRDefault="00C34654" w:rsidP="00C34654">
      <w:pPr>
        <w:pStyle w:val="05-ODST-3"/>
        <w:numPr>
          <w:ilvl w:val="0"/>
          <w:numId w:val="32"/>
        </w:numPr>
        <w:spacing w:before="0" w:line="240" w:lineRule="exact"/>
      </w:pPr>
      <w:r>
        <w:t>provedení vizuální kontroly každé trubky z hlediska zjevných vad – vruby, trhliny apod.</w:t>
      </w:r>
    </w:p>
    <w:p w:rsidR="00C34654" w:rsidRDefault="00C34654" w:rsidP="00C34654">
      <w:pPr>
        <w:pStyle w:val="05-ODST-3"/>
        <w:numPr>
          <w:ilvl w:val="0"/>
          <w:numId w:val="32"/>
        </w:numPr>
        <w:spacing w:before="0" w:line="240" w:lineRule="exact"/>
      </w:pPr>
      <w:r>
        <w:t>provedení kontroly všech trubek na výskyt nepovolených vad – zdvojenin, přeplátování, vměstků apod. – kombinací RTG a ultrazvuku</w:t>
      </w:r>
    </w:p>
    <w:p w:rsidR="00C34654" w:rsidRDefault="00C34654" w:rsidP="00C34654">
      <w:pPr>
        <w:pStyle w:val="05-ODST-3"/>
        <w:numPr>
          <w:ilvl w:val="0"/>
          <w:numId w:val="32"/>
        </w:numPr>
        <w:spacing w:before="0" w:line="240" w:lineRule="exact"/>
      </w:pPr>
      <w:r>
        <w:t xml:space="preserve">provedení </w:t>
      </w:r>
      <w:proofErr w:type="gramStart"/>
      <w:r>
        <w:t>100</w:t>
      </w:r>
      <w:r w:rsidR="008F53FC">
        <w:t xml:space="preserve"> </w:t>
      </w:r>
      <w:r>
        <w:t>%-ní</w:t>
      </w:r>
      <w:proofErr w:type="gramEnd"/>
      <w:r>
        <w:t xml:space="preserve"> kontroly trubek u výrobce vnitřním přetlakem na hodnotu blízkou napětí na mezi kluzu</w:t>
      </w:r>
    </w:p>
    <w:p w:rsidR="00C34654" w:rsidRDefault="00C34654" w:rsidP="00C34654">
      <w:pPr>
        <w:pStyle w:val="05-ODST-3"/>
        <w:numPr>
          <w:ilvl w:val="0"/>
          <w:numId w:val="0"/>
        </w:numPr>
        <w:spacing w:before="0" w:line="240" w:lineRule="exact"/>
        <w:ind w:left="1366"/>
      </w:pPr>
    </w:p>
    <w:p w:rsidR="00C34654" w:rsidRPr="00725544" w:rsidRDefault="00C34654" w:rsidP="008F53FC">
      <w:pPr>
        <w:pStyle w:val="05-ODST-3"/>
        <w:numPr>
          <w:ilvl w:val="0"/>
          <w:numId w:val="0"/>
        </w:numPr>
        <w:tabs>
          <w:tab w:val="clear" w:pos="1134"/>
        </w:tabs>
        <w:spacing w:before="0" w:line="240" w:lineRule="exact"/>
        <w:ind w:left="709" w:hanging="425"/>
      </w:pPr>
      <w:r>
        <w:t xml:space="preserve">      Dodavatel zajistí vhodný způsob dopravy k zadavateli, složení a uložení potrubí v místě plnění tj. </w:t>
      </w:r>
      <w:r w:rsidR="008F53FC">
        <w:t>sklad Hněvice</w:t>
      </w:r>
      <w:r w:rsidR="005F4EF1">
        <w:t xml:space="preserve"> uvedený v bodu 1.4 této ZD</w:t>
      </w:r>
      <w:r w:rsidR="008F53FC">
        <w:t>.</w:t>
      </w:r>
    </w:p>
    <w:p w:rsidR="00725544" w:rsidRDefault="00725544" w:rsidP="00725544">
      <w:pPr>
        <w:pStyle w:val="02-ODST-2"/>
        <w:numPr>
          <w:ilvl w:val="0"/>
          <w:numId w:val="0"/>
        </w:numPr>
        <w:ind w:left="567"/>
        <w:rPr>
          <w:b/>
        </w:rPr>
      </w:pPr>
    </w:p>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070FFC" w:rsidRDefault="00AF26B7" w:rsidP="00AF26B7">
      <w:r w:rsidRPr="00EB7A25">
        <w:t xml:space="preserve">předpokládaný termín ukončení realizace předmětu zakázky: </w:t>
      </w:r>
      <w:r w:rsidRPr="00EB7A25">
        <w:tab/>
      </w:r>
      <w:r w:rsidR="00070FFC">
        <w:t xml:space="preserve"> </w:t>
      </w:r>
      <w:r w:rsidR="00C56840">
        <w:t xml:space="preserve">nejpozději do </w:t>
      </w:r>
      <w:r w:rsidR="00923E33">
        <w:t>15</w:t>
      </w:r>
      <w:r w:rsidR="00C56840">
        <w:t xml:space="preserve">. </w:t>
      </w:r>
      <w:r w:rsidR="00923E33">
        <w:t>8</w:t>
      </w:r>
      <w:r w:rsidR="00C56840">
        <w:t>. 2014</w:t>
      </w:r>
    </w:p>
    <w:p w:rsidR="00AF26B7" w:rsidRDefault="00AF26B7" w:rsidP="00AF26B7">
      <w:r>
        <w:t xml:space="preserve">Místo plnění: </w:t>
      </w:r>
    </w:p>
    <w:p w:rsidR="00AF26B7" w:rsidRDefault="00AF26B7" w:rsidP="00AF26B7">
      <w:r>
        <w:t xml:space="preserve">ČEPRO, a.s., sklad </w:t>
      </w:r>
      <w:r w:rsidR="00F940C4">
        <w:t xml:space="preserve">Hněvice, </w:t>
      </w:r>
      <w:proofErr w:type="gramStart"/>
      <w:r w:rsidR="00F940C4">
        <w:t>č.p.</w:t>
      </w:r>
      <w:proofErr w:type="gramEnd"/>
      <w:r w:rsidR="00F940C4">
        <w:t xml:space="preserve"> 62, 411 08 Štětí</w:t>
      </w:r>
    </w:p>
    <w:p w:rsidR="00AC4B33" w:rsidRDefault="00AC4B33" w:rsidP="008F53FC">
      <w:pPr>
        <w:pStyle w:val="01-L"/>
        <w:spacing w:before="360"/>
        <w:ind w:left="17"/>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 xml:space="preserve">Rozsah </w:t>
      </w:r>
      <w:bookmarkEnd w:id="1"/>
      <w:r w:rsidR="003F4FCD">
        <w:rPr>
          <w:b/>
        </w:rPr>
        <w:t>dodávky</w:t>
      </w:r>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7C7B6F" w:rsidRDefault="00AF26B7" w:rsidP="007C7B6F">
      <w:pPr>
        <w:pStyle w:val="02-ODST-2"/>
        <w:rPr>
          <w:b/>
        </w:rPr>
      </w:pPr>
      <w:r w:rsidRPr="007C7B6F">
        <w:rPr>
          <w:b/>
        </w:rPr>
        <w:t>Další požadav</w:t>
      </w:r>
      <w:r w:rsidR="00D92C46">
        <w:rPr>
          <w:b/>
        </w:rPr>
        <w:t>ky na realizaci zakázky</w:t>
      </w:r>
    </w:p>
    <w:p w:rsidR="00AF26B7" w:rsidRPr="003D4FC5" w:rsidRDefault="00CA2E0C" w:rsidP="006F7350">
      <w:pPr>
        <w:pStyle w:val="05-ODST-3"/>
      </w:pPr>
      <w:r>
        <w:t>Z</w:t>
      </w:r>
      <w:r w:rsidR="00AF26B7" w:rsidRPr="003D4FC5">
        <w:t>adavatel požaduje záruku v délce trvání</w:t>
      </w:r>
      <w:r w:rsidR="00436512" w:rsidRPr="003D4FC5">
        <w:t xml:space="preserve"> minimálně</w:t>
      </w:r>
      <w:r w:rsidR="00AF26B7" w:rsidRPr="003D4FC5">
        <w:t xml:space="preserve"> </w:t>
      </w:r>
      <w:r w:rsidR="00C56840">
        <w:t>36</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 xml:space="preserve">adavatel požaduje zajištění záručního servisu </w:t>
      </w:r>
      <w:r w:rsidR="00C56840">
        <w:t xml:space="preserve">dle </w:t>
      </w:r>
      <w:r w:rsidR="00AF26B7">
        <w:t xml:space="preserve">podmínek uvedených v návrhu smlouvy, který je </w:t>
      </w:r>
      <w:r w:rsidR="00AF26B7" w:rsidRPr="0063101F">
        <w:t>přílohou č.</w:t>
      </w:r>
      <w:r w:rsidR="00AF26B7">
        <w:t xml:space="preserve"> </w:t>
      </w:r>
      <w:r w:rsidR="0063101F">
        <w:t>1</w:t>
      </w:r>
      <w:r w:rsidR="00AF26B7">
        <w:t xml:space="preserve"> této zadávací dokumentace</w:t>
      </w:r>
      <w:r w:rsidR="003F4FCD">
        <w:t>,</w:t>
      </w:r>
      <w:r w:rsidR="001E6717">
        <w:t xml:space="preserve"> a v souladu s platnou legislativou</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F26B7" w:rsidRDefault="00AF26B7" w:rsidP="008F53FC">
      <w:pPr>
        <w:pStyle w:val="01-L"/>
        <w:spacing w:before="360"/>
        <w:ind w:left="17"/>
      </w:pPr>
      <w:r>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00277A84">
        <w:t xml:space="preserve">kupní </w:t>
      </w:r>
      <w:r w:rsidRPr="00EB026B">
        <w:t>smlouvy</w:t>
      </w:r>
      <w:r w:rsidR="00277A84">
        <w:t xml:space="preserve">, která </w:t>
      </w:r>
      <w:r w:rsidRPr="00B4468A">
        <w:t xml:space="preserve">je </w:t>
      </w:r>
      <w:r w:rsidRPr="0063101F">
        <w:t xml:space="preserve">přílohou č. </w:t>
      </w:r>
      <w:r w:rsidR="0063101F" w:rsidRPr="0063101F">
        <w:t>1</w:t>
      </w:r>
      <w:r w:rsidR="007D11BD" w:rsidRPr="0063101F">
        <w:t xml:space="preserve"> </w:t>
      </w:r>
      <w:r w:rsidRPr="0063101F">
        <w:t>této</w:t>
      </w:r>
      <w:r w:rsidRPr="00B4468A">
        <w:t xml:space="preserve"> zadávací dokumentace</w:t>
      </w:r>
      <w:r w:rsidR="00707352">
        <w:t>,</w:t>
      </w:r>
      <w:r w:rsidRPr="00B4468A">
        <w:t xml:space="preserve"> a je pro uchazeče závazná.</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rsidR="00277A84">
        <w:t>zařízení</w:t>
      </w:r>
      <w:r>
        <w:t xml:space="preserve"> a podpisu předávacího protokolu 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lastRenderedPageBreak/>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w:t>
      </w:r>
      <w:r w:rsidRPr="00D41AC3">
        <w:t xml:space="preserve">daňového dokladu musí též být </w:t>
      </w:r>
      <w:r w:rsidRPr="00D41AC3">
        <w:rPr>
          <w:rFonts w:cs="Arial"/>
        </w:rPr>
        <w:t xml:space="preserve">oceněný soupis dodávek, které jsou touto fakturou účtovány, písemně odsouhlasený pověřeným zástupcem zadavatele vykonávajícím technický dozor s uvedením CZ CPA kódů, přičemž </w:t>
      </w:r>
      <w:r w:rsidR="00B65A70" w:rsidRPr="00D41AC3">
        <w:rPr>
          <w:rFonts w:cs="Arial"/>
        </w:rPr>
        <w:t>uchazeč</w:t>
      </w:r>
      <w:r w:rsidRPr="00D41AC3">
        <w:rPr>
          <w:rFonts w:cs="Arial"/>
        </w:rPr>
        <w:t xml:space="preserve"> vystaví zvlášť fakturu pro plnění, u něhož je podle právních předpisů plátcem DPH</w:t>
      </w:r>
      <w:r w:rsidRPr="00A51838">
        <w:rPr>
          <w:rFonts w:cs="Arial"/>
        </w:rPr>
        <w:t xml:space="preserve">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w:t>
      </w:r>
      <w:r w:rsidR="00277A84">
        <w:t xml:space="preserve">kupní </w:t>
      </w:r>
      <w:r>
        <w:t>smlouvy (v případě rozporu mezi zněním platebních podmínek uvedených v této ZD a platebních podmínek uvedených v návrhu smlouvy mají přednost ustanovení návrhu smlouvy).</w:t>
      </w:r>
    </w:p>
    <w:p w:rsidR="00AF26B7" w:rsidRDefault="00AF26B7" w:rsidP="008F53FC">
      <w:pPr>
        <w:pStyle w:val="01-L"/>
        <w:spacing w:before="360"/>
        <w:ind w:left="17"/>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dle zadání</w:t>
      </w:r>
      <w:r w:rsidR="00853849">
        <w:t xml:space="preserve">. </w:t>
      </w:r>
    </w:p>
    <w:p w:rsidR="00AF26B7" w:rsidRDefault="00853849" w:rsidP="00AF26B7">
      <w:r>
        <w:t xml:space="preserve">Cenová nabídka bude předložena v </w:t>
      </w:r>
      <w:r w:rsidR="00875408">
        <w:t>následujícím členění:</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277A84" w:rsidRDefault="00C82996" w:rsidP="008465EC">
            <w:pPr>
              <w:spacing w:before="0"/>
              <w:rPr>
                <w:rFonts w:cs="Arial"/>
                <w:b/>
                <w:bCs/>
                <w:color w:val="000000"/>
              </w:rPr>
            </w:pPr>
            <w:r w:rsidRPr="00277A84">
              <w:rPr>
                <w:rFonts w:cs="Arial"/>
                <w:b/>
                <w:bCs/>
                <w:color w:val="000000"/>
              </w:rPr>
              <w:t xml:space="preserve">CENA </w:t>
            </w:r>
            <w:r w:rsidR="00C65D44" w:rsidRPr="00277A84">
              <w:rPr>
                <w:rFonts w:cs="Arial"/>
                <w:b/>
                <w:bCs/>
                <w:color w:val="000000"/>
              </w:rPr>
              <w:t xml:space="preserve">ZA </w:t>
            </w:r>
            <w:r w:rsidR="00277A84" w:rsidRPr="00277A84">
              <w:rPr>
                <w:rFonts w:cs="Arial"/>
                <w:b/>
                <w:bCs/>
                <w:color w:val="000000"/>
              </w:rPr>
              <w:t>DODÁVKU</w:t>
            </w:r>
            <w:r w:rsidR="00C65D44" w:rsidRPr="00277A84">
              <w:rPr>
                <w:rFonts w:cs="Arial"/>
                <w:b/>
                <w:bCs/>
                <w:color w:val="000000"/>
              </w:rPr>
              <w:t xml:space="preserve"> </w:t>
            </w:r>
            <w:r w:rsidRPr="00277A84">
              <w:rPr>
                <w:rFonts w:cs="Arial"/>
                <w:b/>
                <w:bCs/>
                <w:color w:val="000000"/>
              </w:rPr>
              <w:t>CELKEM</w:t>
            </w:r>
            <w:r w:rsidR="008465EC">
              <w:rPr>
                <w:rFonts w:cs="Arial"/>
                <w:b/>
                <w:bCs/>
                <w:color w:val="000000"/>
              </w:rPr>
              <w:t xml:space="preserve"> </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8F53FC" w:rsidRDefault="008F53FC" w:rsidP="00AF26B7"/>
    <w:p w:rsidR="00AF26B7" w:rsidRDefault="00AF26B7" w:rsidP="008F53FC">
      <w:pPr>
        <w:pStyle w:val="01-L"/>
        <w:spacing w:before="360"/>
        <w:ind w:left="17"/>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lastRenderedPageBreak/>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8F53FC">
      <w:pPr>
        <w:pStyle w:val="01-L"/>
        <w:spacing w:before="360"/>
        <w:ind w:left="17"/>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w:t>
      </w:r>
      <w:r w:rsidRPr="00B4468A">
        <w:t xml:space="preserve">přílohou č. </w:t>
      </w:r>
      <w:r w:rsidR="00825CF5">
        <w:t>2</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lastRenderedPageBreak/>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w:t>
      </w:r>
      <w:r w:rsidR="00C160BB" w:rsidRPr="00B4468A">
        <w:t xml:space="preserve">v členění </w:t>
      </w:r>
      <w:r w:rsidRPr="00B4468A">
        <w:t>dle článku 4</w:t>
      </w:r>
      <w:r w:rsidR="00CD3488">
        <w:t xml:space="preserve"> ZD</w:t>
      </w:r>
    </w:p>
    <w:p w:rsidR="00AF26B7" w:rsidRPr="00B4468A" w:rsidRDefault="00AF26B7" w:rsidP="004E65D5">
      <w:pPr>
        <w:pStyle w:val="05-ODST-3"/>
      </w:pPr>
      <w:r w:rsidRPr="00B4468A">
        <w:rPr>
          <w:b/>
        </w:rPr>
        <w:t xml:space="preserve">Podepsaný návrh </w:t>
      </w:r>
      <w:r w:rsidR="00AF6478">
        <w:rPr>
          <w:b/>
        </w:rPr>
        <w:t xml:space="preserve">kupní </w:t>
      </w:r>
      <w:r w:rsidRPr="00B4468A">
        <w:rPr>
          <w:b/>
        </w:rPr>
        <w:t>smlouvy</w:t>
      </w:r>
      <w:r w:rsidRPr="00B4468A">
        <w:t xml:space="preserve"> (viz příloha č. </w:t>
      </w:r>
      <w:r w:rsidR="00825CF5">
        <w:t>1</w:t>
      </w:r>
      <w:r w:rsidRPr="00B4468A">
        <w:t>)</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AF6478">
        <w:t>46</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za </w:t>
      </w:r>
      <w:r w:rsidR="00B65A70">
        <w:t>uchazeč</w:t>
      </w:r>
      <w:r>
        <w:t>e.</w:t>
      </w:r>
    </w:p>
    <w:p w:rsidR="00AA7C2C" w:rsidRDefault="00AA7C2C" w:rsidP="004C4B8F">
      <w:pPr>
        <w:pStyle w:val="05-ODST-3"/>
        <w:numPr>
          <w:ilvl w:val="0"/>
          <w:numId w:val="0"/>
        </w:numPr>
        <w:tabs>
          <w:tab w:val="clear" w:pos="1134"/>
          <w:tab w:val="left" w:pos="284"/>
        </w:tabs>
        <w:ind w:left="284"/>
      </w:pPr>
      <w:r>
        <w:t>Dále uchazeč případně doloží:</w:t>
      </w:r>
    </w:p>
    <w:p w:rsidR="004C4B8F" w:rsidRDefault="004C4B8F" w:rsidP="004C4B8F">
      <w:pPr>
        <w:pStyle w:val="05-ODST-3"/>
        <w:numPr>
          <w:ilvl w:val="0"/>
          <w:numId w:val="0"/>
        </w:numPr>
        <w:tabs>
          <w:tab w:val="clear" w:pos="1134"/>
          <w:tab w:val="left" w:pos="284"/>
        </w:tabs>
        <w:ind w:left="284"/>
      </w:pPr>
      <w:r w:rsidRPr="00D41AC3">
        <w:t>Prohlášení o způsobu zajištění případných subdodávek a doložením seznamu subdodavatelských firem včetně prokázání jejich profesních kvalifikačních předpokladů</w:t>
      </w:r>
      <w:r w:rsidR="00AA7C2C">
        <w:t>.</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w:t>
      </w:r>
      <w:r w:rsidR="00AA7C2C">
        <w:t>ředloženém návrhu kupní smlouvy</w:t>
      </w:r>
      <w:r w:rsidR="00853849">
        <w:t>.</w:t>
      </w:r>
    </w:p>
    <w:p w:rsidR="00AF26B7" w:rsidRDefault="00853849" w:rsidP="008F53FC">
      <w:pPr>
        <w:pStyle w:val="01-L"/>
        <w:spacing w:before="360"/>
        <w:ind w:left="17"/>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w:t>
      </w:r>
      <w:r w:rsidR="00F94929">
        <w:t>daje obsažené v příloze č. 1 této ZD</w:t>
      </w:r>
      <w:r>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w:t>
      </w:r>
      <w:r w:rsidR="00AF6478">
        <w:t xml:space="preserve">kupní </w:t>
      </w:r>
      <w:r>
        <w:t xml:space="preserve">smlouvy, jenž je přílohou této zadávací dokumentace. </w:t>
      </w:r>
    </w:p>
    <w:p w:rsidR="00AF26B7" w:rsidRDefault="00AF26B7" w:rsidP="00DC63ED">
      <w:pPr>
        <w:pStyle w:val="05-ODST-3"/>
      </w:pPr>
      <w:r>
        <w:lastRenderedPageBreak/>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4D2201" w:rsidRDefault="004D2201" w:rsidP="008F53FC">
      <w:pPr>
        <w:pStyle w:val="01-L"/>
        <w:spacing w:before="360"/>
        <w:ind w:left="17"/>
      </w:pPr>
      <w:r>
        <w:t>Výběrové řízení</w:t>
      </w:r>
    </w:p>
    <w:p w:rsidR="004D2201" w:rsidRDefault="004D2201" w:rsidP="004D2201">
      <w:r>
        <w:t>Výběrové řízení je zahájeno uveřejněním zadávací dokumentace, včetně všech příloh na oficiálních internetových stránkách společnosti ČEPRO, a. s., https://www.softender.cz/home/CEPROAS/current.</w:t>
      </w:r>
    </w:p>
    <w:p w:rsidR="004D2201" w:rsidRDefault="004D2201" w:rsidP="004D2201">
      <w:r>
        <w:t>Uchazeč</w:t>
      </w:r>
      <w:r w:rsidR="002659B5">
        <w:t xml:space="preserve"> (dodavatel)</w:t>
      </w:r>
      <w:r>
        <w:t xml:space="preserve"> je oprávněn požadovat po zadavateli písemně dodatečné informace k zadávacím podmínkám. Písemná žádost musí být zadavateli doručena nejpozději 5 dnů před uplynutím lhůty pro podání nabídek.</w:t>
      </w:r>
    </w:p>
    <w:p w:rsidR="004D2201" w:rsidRPr="00785C89" w:rsidRDefault="004D2201" w:rsidP="004D2201">
      <w:pPr>
        <w:pStyle w:val="02-ODST-2"/>
        <w:rPr>
          <w:b/>
        </w:rPr>
      </w:pPr>
      <w:r w:rsidRPr="00785C89">
        <w:rPr>
          <w:b/>
        </w:rPr>
        <w:t>Místo, způsob a lhůta k podávání nabídek</w:t>
      </w:r>
    </w:p>
    <w:p w:rsidR="004D2201" w:rsidRDefault="004D2201" w:rsidP="004D2201">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4D2201" w:rsidRDefault="004D2201" w:rsidP="004D2201">
      <w:pPr>
        <w:rPr>
          <w:i/>
        </w:rPr>
      </w:pPr>
      <w:r w:rsidRPr="003B393F">
        <w:rPr>
          <w:i/>
        </w:rPr>
        <w:t xml:space="preserve">v listinné podobě </w:t>
      </w:r>
      <w:r>
        <w:rPr>
          <w:i/>
        </w:rPr>
        <w:t>1x originál a 1 x kopie nabídky.</w:t>
      </w:r>
    </w:p>
    <w:p w:rsidR="004D2201" w:rsidRPr="001B4A34" w:rsidRDefault="004D2201" w:rsidP="004D2201">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Pr="00AF6478">
        <w:rPr>
          <w:b/>
        </w:rPr>
        <w:t>„</w:t>
      </w:r>
      <w:r w:rsidR="008F53FC" w:rsidRPr="008F53FC">
        <w:rPr>
          <w:b/>
        </w:rPr>
        <w:t>Dodávka potrubí DN 300, PN 63</w:t>
      </w:r>
      <w:r>
        <w:rPr>
          <w:b/>
        </w:rPr>
        <w:t xml:space="preserve">“ </w:t>
      </w:r>
      <w:r w:rsidRPr="001B4A34">
        <w:t xml:space="preserve">a </w:t>
      </w:r>
      <w:proofErr w:type="spellStart"/>
      <w:r w:rsidRPr="001B4A34">
        <w:t>evid</w:t>
      </w:r>
      <w:proofErr w:type="spellEnd"/>
      <w:r w:rsidRPr="001B4A34">
        <w:t>. č</w:t>
      </w:r>
      <w:r>
        <w:rPr>
          <w:b/>
        </w:rPr>
        <w:t xml:space="preserve">. </w:t>
      </w:r>
      <w:r w:rsidR="008F53FC">
        <w:rPr>
          <w:b/>
        </w:rPr>
        <w:t>128</w:t>
      </w:r>
      <w:r>
        <w:rPr>
          <w:b/>
        </w:rPr>
        <w:t>/14/OCN.</w:t>
      </w:r>
    </w:p>
    <w:p w:rsidR="004D2201" w:rsidRPr="001B4A34" w:rsidRDefault="004D2201" w:rsidP="004D2201">
      <w:r>
        <w:t>Nabídka v </w:t>
      </w:r>
      <w:r w:rsidRPr="001B4A34">
        <w:rPr>
          <w:u w:val="single"/>
        </w:rPr>
        <w:t>elektronické verzi</w:t>
      </w:r>
      <w:r>
        <w:t xml:space="preserve"> nebo v listinné podobě musí být dodavatelem podána ve lhůtě nejpozději do </w:t>
      </w:r>
      <w:r w:rsidR="00AB250A" w:rsidRPr="00AB250A">
        <w:rPr>
          <w:b/>
          <w:color w:val="FF0000"/>
          <w:u w:val="single"/>
        </w:rPr>
        <w:t>3</w:t>
      </w:r>
      <w:r w:rsidR="00AB250A" w:rsidRPr="00AB250A">
        <w:rPr>
          <w:b/>
          <w:color w:val="FF0000"/>
          <w:u w:val="single"/>
        </w:rPr>
        <w:t>0</w:t>
      </w:r>
      <w:r w:rsidRPr="00AB250A">
        <w:rPr>
          <w:b/>
          <w:color w:val="FF0000"/>
          <w:u w:val="single"/>
        </w:rPr>
        <w:t xml:space="preserve">. </w:t>
      </w:r>
      <w:r w:rsidR="00AB250A" w:rsidRPr="00AB250A">
        <w:rPr>
          <w:b/>
          <w:color w:val="FF0000"/>
          <w:u w:val="single"/>
        </w:rPr>
        <w:t>5</w:t>
      </w:r>
      <w:r w:rsidRPr="00AB250A">
        <w:rPr>
          <w:b/>
          <w:color w:val="FF0000"/>
          <w:u w:val="single"/>
        </w:rPr>
        <w:t>.</w:t>
      </w:r>
      <w:r w:rsidRPr="00AB250A">
        <w:rPr>
          <w:color w:val="FF0000"/>
          <w:u w:val="single"/>
        </w:rPr>
        <w:t xml:space="preserve"> </w:t>
      </w:r>
      <w:r w:rsidR="00AB250A" w:rsidRPr="00AB250A">
        <w:rPr>
          <w:b/>
          <w:color w:val="FF0000"/>
          <w:u w:val="single"/>
        </w:rPr>
        <w:t>201</w:t>
      </w:r>
      <w:r w:rsidR="00AB250A" w:rsidRPr="00AB250A">
        <w:rPr>
          <w:b/>
          <w:color w:val="FF0000"/>
          <w:u w:val="single"/>
        </w:rPr>
        <w:t>4</w:t>
      </w:r>
      <w:r w:rsidR="00AB250A" w:rsidRPr="00AB250A">
        <w:rPr>
          <w:b/>
          <w:color w:val="FF0000"/>
          <w:u w:val="single"/>
        </w:rPr>
        <w:t xml:space="preserve"> </w:t>
      </w:r>
      <w:r w:rsidRPr="00AB250A">
        <w:rPr>
          <w:b/>
          <w:color w:val="FF0000"/>
          <w:u w:val="single"/>
        </w:rPr>
        <w:t>do 10 hodin</w:t>
      </w:r>
      <w:r w:rsidRPr="00AB250A">
        <w:rPr>
          <w:b/>
        </w:rPr>
        <w:t>.</w:t>
      </w:r>
      <w:bookmarkStart w:id="2" w:name="_GoBack"/>
      <w:bookmarkEnd w:id="2"/>
    </w:p>
    <w:p w:rsidR="004D2201" w:rsidRPr="003B393F" w:rsidRDefault="004D2201" w:rsidP="004D2201">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D2201" w:rsidRPr="001B4A34" w:rsidRDefault="004D2201" w:rsidP="004D2201">
      <w:pPr>
        <w:tabs>
          <w:tab w:val="left" w:pos="1260"/>
        </w:tabs>
        <w:rPr>
          <w:i/>
        </w:rPr>
      </w:pPr>
      <w:r w:rsidRPr="001B4A34">
        <w:rPr>
          <w:i/>
        </w:rPr>
        <w:t>adresa:</w:t>
      </w:r>
      <w:r w:rsidRPr="001B4A34">
        <w:rPr>
          <w:i/>
        </w:rPr>
        <w:tab/>
        <w:t>ČEPRO, a. s.</w:t>
      </w:r>
    </w:p>
    <w:p w:rsidR="004D2201" w:rsidRPr="001B4A34" w:rsidRDefault="004D2201" w:rsidP="004D2201">
      <w:pPr>
        <w:tabs>
          <w:tab w:val="left" w:pos="1260"/>
        </w:tabs>
        <w:spacing w:before="0"/>
        <w:rPr>
          <w:i/>
        </w:rPr>
      </w:pPr>
      <w:r w:rsidRPr="001B4A34">
        <w:rPr>
          <w:i/>
        </w:rPr>
        <w:tab/>
        <w:t xml:space="preserve">Ing. Ivana Ševecová            </w:t>
      </w:r>
    </w:p>
    <w:p w:rsidR="004D2201" w:rsidRPr="001B4A34" w:rsidRDefault="004D2201" w:rsidP="004D2201">
      <w:pPr>
        <w:tabs>
          <w:tab w:val="left" w:pos="1260"/>
        </w:tabs>
        <w:spacing w:before="0"/>
        <w:rPr>
          <w:i/>
        </w:rPr>
      </w:pPr>
      <w:r w:rsidRPr="001B4A34">
        <w:rPr>
          <w:i/>
        </w:rPr>
        <w:tab/>
        <w:t>Dělnická 12/213</w:t>
      </w:r>
    </w:p>
    <w:p w:rsidR="004D2201" w:rsidRPr="001B4A34" w:rsidRDefault="004D2201" w:rsidP="004D2201">
      <w:pPr>
        <w:tabs>
          <w:tab w:val="left" w:pos="1260"/>
        </w:tabs>
        <w:spacing w:before="0"/>
        <w:rPr>
          <w:i/>
        </w:rPr>
      </w:pPr>
      <w:r w:rsidRPr="001B4A34">
        <w:rPr>
          <w:i/>
        </w:rPr>
        <w:tab/>
        <w:t>170 04 Praha 7</w:t>
      </w:r>
    </w:p>
    <w:p w:rsidR="00AF26B7" w:rsidRPr="00785C89" w:rsidRDefault="00077905" w:rsidP="00785C89">
      <w:pPr>
        <w:pStyle w:val="02-ODST-2"/>
        <w:rPr>
          <w:b/>
        </w:rPr>
      </w:pPr>
      <w:r>
        <w:rPr>
          <w:b/>
        </w:rPr>
        <w:t xml:space="preserve"> </w:t>
      </w:r>
      <w:r w:rsidR="00AF26B7"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8F53FC">
      <w:pPr>
        <w:pStyle w:val="01-L"/>
        <w:spacing w:before="360"/>
        <w:ind w:left="17"/>
      </w:pPr>
      <w:r>
        <w:t>Přílohy</w:t>
      </w:r>
    </w:p>
    <w:p w:rsidR="00AF26B7" w:rsidRDefault="00AF26B7" w:rsidP="00AF26B7">
      <w:r>
        <w:t xml:space="preserve">Nedílnou součástí této zadávací dokumentace jsou tyto přílohy: </w:t>
      </w:r>
    </w:p>
    <w:p w:rsidR="0063101F" w:rsidRDefault="00853849" w:rsidP="00853849">
      <w:r>
        <w:t xml:space="preserve">Příloha </w:t>
      </w:r>
      <w:proofErr w:type="gramStart"/>
      <w:r>
        <w:t xml:space="preserve">č. </w:t>
      </w:r>
      <w:r w:rsidR="00D41AC3">
        <w:t>1</w:t>
      </w:r>
      <w:r w:rsidR="002659B5">
        <w:t xml:space="preserve"> –  Kupní</w:t>
      </w:r>
      <w:proofErr w:type="gramEnd"/>
      <w:r>
        <w:t xml:space="preserve"> smlouv</w:t>
      </w:r>
      <w:r w:rsidR="002659B5">
        <w:t>a</w:t>
      </w:r>
      <w:r>
        <w:t xml:space="preserve"> </w:t>
      </w:r>
    </w:p>
    <w:p w:rsidR="00853849" w:rsidRDefault="00853849" w:rsidP="00853849">
      <w:r>
        <w:t xml:space="preserve">Příloha </w:t>
      </w:r>
      <w:proofErr w:type="gramStart"/>
      <w:r>
        <w:t xml:space="preserve">č. </w:t>
      </w:r>
      <w:r w:rsidR="00D41AC3">
        <w:t>2</w:t>
      </w:r>
      <w:r>
        <w:t xml:space="preserve"> –  Krycí</w:t>
      </w:r>
      <w:proofErr w:type="gramEnd"/>
      <w:r>
        <w:t xml:space="preserve"> list nabídky </w:t>
      </w:r>
    </w:p>
    <w:p w:rsidR="00853849" w:rsidRDefault="00853849" w:rsidP="00853849"/>
    <w:p w:rsidR="00853849" w:rsidRDefault="00853849" w:rsidP="00AF26B7"/>
    <w:p w:rsidR="00AF26B7" w:rsidRDefault="00984EC2" w:rsidP="00AF26B7">
      <w:r>
        <w:t xml:space="preserve">V Praze dne </w:t>
      </w:r>
      <w:r w:rsidR="00295398">
        <w:t>21</w:t>
      </w:r>
      <w:r w:rsidR="003D219A">
        <w:t xml:space="preserve">. </w:t>
      </w:r>
      <w:r w:rsidR="00295398">
        <w:t>5</w:t>
      </w:r>
      <w:r w:rsidR="003D219A">
        <w:t xml:space="preserve">. </w:t>
      </w:r>
      <w:r w:rsidR="00AF6478">
        <w:t>2014</w:t>
      </w:r>
    </w:p>
    <w:p w:rsidR="00231D7B" w:rsidRDefault="00231D7B" w:rsidP="00AF26B7"/>
    <w:p w:rsidR="00AF26B7" w:rsidRDefault="00AF26B7" w:rsidP="00AF26B7">
      <w:r>
        <w:t>Odbor centrálního nákupu, ČEPRO, a. s.</w:t>
      </w:r>
    </w:p>
    <w:sectPr w:rsidR="00AF26B7">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DCD" w:rsidRDefault="00811DCD">
      <w:r>
        <w:separator/>
      </w:r>
    </w:p>
  </w:endnote>
  <w:endnote w:type="continuationSeparator" w:id="0">
    <w:p w:rsidR="00811DCD" w:rsidRDefault="00811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26D37103" wp14:editId="18A3449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r>
    <w:proofErr w:type="gramStart"/>
    <w:r>
      <w:t xml:space="preserve">strana </w:t>
    </w:r>
    <w:proofErr w:type="gramEnd"/>
    <w:r>
      <w:rPr>
        <w:rStyle w:val="slostrnky"/>
      </w:rPr>
      <w:fldChar w:fldCharType="begin"/>
    </w:r>
    <w:r>
      <w:rPr>
        <w:rStyle w:val="slostrnky"/>
      </w:rPr>
      <w:instrText xml:space="preserve"> PAGE </w:instrText>
    </w:r>
    <w:r>
      <w:rPr>
        <w:rStyle w:val="slostrnky"/>
      </w:rPr>
      <w:fldChar w:fldCharType="separate"/>
    </w:r>
    <w:r w:rsidR="00AB250A">
      <w:rPr>
        <w:rStyle w:val="slostrnky"/>
        <w:noProof/>
      </w:rPr>
      <w:t>1</w:t>
    </w:r>
    <w:r>
      <w:rPr>
        <w:rStyle w:val="slostrnky"/>
      </w:rPr>
      <w:fldChar w:fldCharType="end"/>
    </w:r>
    <w:proofErr w:type="gramStart"/>
    <w:r>
      <w:rPr>
        <w:rStyle w:val="slostrnky"/>
      </w:rPr>
      <w:t xml:space="preserve"> z </w:t>
    </w:r>
    <w:proofErr w:type="gramEnd"/>
    <w:r>
      <w:rPr>
        <w:rStyle w:val="slostrnky"/>
      </w:rPr>
      <w:fldChar w:fldCharType="begin"/>
    </w:r>
    <w:r>
      <w:rPr>
        <w:rStyle w:val="slostrnky"/>
      </w:rPr>
      <w:instrText xml:space="preserve"> NUMPAGES </w:instrText>
    </w:r>
    <w:r>
      <w:rPr>
        <w:rStyle w:val="slostrnky"/>
      </w:rPr>
      <w:fldChar w:fldCharType="separate"/>
    </w:r>
    <w:r w:rsidR="00AB250A">
      <w:rPr>
        <w:rStyle w:val="slostrnky"/>
        <w:noProof/>
      </w:rPr>
      <w:t>7</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DCD" w:rsidRDefault="00811DCD">
      <w:r>
        <w:separator/>
      </w:r>
    </w:p>
  </w:footnote>
  <w:footnote w:type="continuationSeparator" w:id="0">
    <w:p w:rsidR="00811DCD" w:rsidRDefault="00811D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01AF"/>
    <w:multiLevelType w:val="hybridMultilevel"/>
    <w:tmpl w:val="71DA16C6"/>
    <w:lvl w:ilvl="0" w:tplc="0405000D">
      <w:start w:val="1"/>
      <w:numFmt w:val="bullet"/>
      <w:lvlText w:val=""/>
      <w:lvlJc w:val="left"/>
      <w:pPr>
        <w:ind w:left="1366" w:hanging="360"/>
      </w:pPr>
      <w:rPr>
        <w:rFonts w:ascii="Wingdings" w:hAnsi="Wingdings" w:hint="default"/>
      </w:rPr>
    </w:lvl>
    <w:lvl w:ilvl="1" w:tplc="04050003" w:tentative="1">
      <w:start w:val="1"/>
      <w:numFmt w:val="bullet"/>
      <w:lvlText w:val="o"/>
      <w:lvlJc w:val="left"/>
      <w:pPr>
        <w:ind w:left="2086" w:hanging="360"/>
      </w:pPr>
      <w:rPr>
        <w:rFonts w:ascii="Courier New" w:hAnsi="Courier New" w:cs="Courier New" w:hint="default"/>
      </w:rPr>
    </w:lvl>
    <w:lvl w:ilvl="2" w:tplc="04050005" w:tentative="1">
      <w:start w:val="1"/>
      <w:numFmt w:val="bullet"/>
      <w:lvlText w:val=""/>
      <w:lvlJc w:val="left"/>
      <w:pPr>
        <w:ind w:left="2806" w:hanging="360"/>
      </w:pPr>
      <w:rPr>
        <w:rFonts w:ascii="Wingdings" w:hAnsi="Wingdings" w:hint="default"/>
      </w:rPr>
    </w:lvl>
    <w:lvl w:ilvl="3" w:tplc="04050001" w:tentative="1">
      <w:start w:val="1"/>
      <w:numFmt w:val="bullet"/>
      <w:lvlText w:val=""/>
      <w:lvlJc w:val="left"/>
      <w:pPr>
        <w:ind w:left="3526" w:hanging="360"/>
      </w:pPr>
      <w:rPr>
        <w:rFonts w:ascii="Symbol" w:hAnsi="Symbol" w:hint="default"/>
      </w:rPr>
    </w:lvl>
    <w:lvl w:ilvl="4" w:tplc="04050003" w:tentative="1">
      <w:start w:val="1"/>
      <w:numFmt w:val="bullet"/>
      <w:lvlText w:val="o"/>
      <w:lvlJc w:val="left"/>
      <w:pPr>
        <w:ind w:left="4246" w:hanging="360"/>
      </w:pPr>
      <w:rPr>
        <w:rFonts w:ascii="Courier New" w:hAnsi="Courier New" w:cs="Courier New" w:hint="default"/>
      </w:rPr>
    </w:lvl>
    <w:lvl w:ilvl="5" w:tplc="04050005" w:tentative="1">
      <w:start w:val="1"/>
      <w:numFmt w:val="bullet"/>
      <w:lvlText w:val=""/>
      <w:lvlJc w:val="left"/>
      <w:pPr>
        <w:ind w:left="4966" w:hanging="360"/>
      </w:pPr>
      <w:rPr>
        <w:rFonts w:ascii="Wingdings" w:hAnsi="Wingdings" w:hint="default"/>
      </w:rPr>
    </w:lvl>
    <w:lvl w:ilvl="6" w:tplc="04050001" w:tentative="1">
      <w:start w:val="1"/>
      <w:numFmt w:val="bullet"/>
      <w:lvlText w:val=""/>
      <w:lvlJc w:val="left"/>
      <w:pPr>
        <w:ind w:left="5686" w:hanging="360"/>
      </w:pPr>
      <w:rPr>
        <w:rFonts w:ascii="Symbol" w:hAnsi="Symbol" w:hint="default"/>
      </w:rPr>
    </w:lvl>
    <w:lvl w:ilvl="7" w:tplc="04050003" w:tentative="1">
      <w:start w:val="1"/>
      <w:numFmt w:val="bullet"/>
      <w:lvlText w:val="o"/>
      <w:lvlJc w:val="left"/>
      <w:pPr>
        <w:ind w:left="6406" w:hanging="360"/>
      </w:pPr>
      <w:rPr>
        <w:rFonts w:ascii="Courier New" w:hAnsi="Courier New" w:cs="Courier New" w:hint="default"/>
      </w:rPr>
    </w:lvl>
    <w:lvl w:ilvl="8" w:tplc="04050005" w:tentative="1">
      <w:start w:val="1"/>
      <w:numFmt w:val="bullet"/>
      <w:lvlText w:val=""/>
      <w:lvlJc w:val="left"/>
      <w:pPr>
        <w:ind w:left="7126"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0BC82A31"/>
    <w:multiLevelType w:val="hybridMultilevel"/>
    <w:tmpl w:val="91005008"/>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B806A2"/>
    <w:multiLevelType w:val="hybridMultilevel"/>
    <w:tmpl w:val="2D34A90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E187E4F"/>
    <w:multiLevelType w:val="hybridMultilevel"/>
    <w:tmpl w:val="E688ADCE"/>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5">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C536A95"/>
    <w:multiLevelType w:val="hybridMultilevel"/>
    <w:tmpl w:val="6B4237E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8"/>
  </w:num>
  <w:num w:numId="3">
    <w:abstractNumId w:val="21"/>
  </w:num>
  <w:num w:numId="4">
    <w:abstractNumId w:val="21"/>
  </w:num>
  <w:num w:numId="5">
    <w:abstractNumId w:val="4"/>
  </w:num>
  <w:num w:numId="6">
    <w:abstractNumId w:val="20"/>
  </w:num>
  <w:num w:numId="7">
    <w:abstractNumId w:val="17"/>
  </w:num>
  <w:num w:numId="8">
    <w:abstractNumId w:val="6"/>
  </w:num>
  <w:num w:numId="9">
    <w:abstractNumId w:val="16"/>
  </w:num>
  <w:num w:numId="10">
    <w:abstractNumId w:val="25"/>
  </w:num>
  <w:num w:numId="11">
    <w:abstractNumId w:val="27"/>
  </w:num>
  <w:num w:numId="12">
    <w:abstractNumId w:val="10"/>
  </w:num>
  <w:num w:numId="13">
    <w:abstractNumId w:val="19"/>
  </w:num>
  <w:num w:numId="14">
    <w:abstractNumId w:val="1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3"/>
  </w:num>
  <w:num w:numId="18">
    <w:abstractNumId w:val="12"/>
  </w:num>
  <w:num w:numId="19">
    <w:abstractNumId w:val="9"/>
  </w:num>
  <w:num w:numId="20">
    <w:abstractNumId w:val="28"/>
  </w:num>
  <w:num w:numId="21">
    <w:abstractNumId w:val="2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
  </w:num>
  <w:num w:numId="25">
    <w:abstractNumId w:val="14"/>
  </w:num>
  <w:num w:numId="26">
    <w:abstractNumId w:val="11"/>
  </w:num>
  <w:num w:numId="27">
    <w:abstractNumId w:val="7"/>
  </w:num>
  <w:num w:numId="28">
    <w:abstractNumId w:val="24"/>
  </w:num>
  <w:num w:numId="29">
    <w:abstractNumId w:val="8"/>
  </w:num>
  <w:num w:numId="30">
    <w:abstractNumId w:val="5"/>
  </w:num>
  <w:num w:numId="31">
    <w:abstractNumId w:val="2"/>
  </w:num>
  <w:num w:numId="3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14BF3"/>
    <w:rsid w:val="000213D9"/>
    <w:rsid w:val="0002499B"/>
    <w:rsid w:val="000619AF"/>
    <w:rsid w:val="00064115"/>
    <w:rsid w:val="00070FF1"/>
    <w:rsid w:val="00070FFC"/>
    <w:rsid w:val="00071B04"/>
    <w:rsid w:val="00074602"/>
    <w:rsid w:val="00075F6E"/>
    <w:rsid w:val="00077905"/>
    <w:rsid w:val="00084721"/>
    <w:rsid w:val="00091F6C"/>
    <w:rsid w:val="000A0DAA"/>
    <w:rsid w:val="000A7F59"/>
    <w:rsid w:val="000B021F"/>
    <w:rsid w:val="000C3064"/>
    <w:rsid w:val="000D19D8"/>
    <w:rsid w:val="000D35E6"/>
    <w:rsid w:val="000E621C"/>
    <w:rsid w:val="000F42B0"/>
    <w:rsid w:val="00116A94"/>
    <w:rsid w:val="0012140A"/>
    <w:rsid w:val="00133126"/>
    <w:rsid w:val="0017779B"/>
    <w:rsid w:val="00187FF4"/>
    <w:rsid w:val="001904BD"/>
    <w:rsid w:val="001A138A"/>
    <w:rsid w:val="001B1A97"/>
    <w:rsid w:val="001B349F"/>
    <w:rsid w:val="001D59CD"/>
    <w:rsid w:val="001D5B3C"/>
    <w:rsid w:val="001D5FCD"/>
    <w:rsid w:val="001E2653"/>
    <w:rsid w:val="001E6717"/>
    <w:rsid w:val="00205625"/>
    <w:rsid w:val="002063DC"/>
    <w:rsid w:val="00207C57"/>
    <w:rsid w:val="00213465"/>
    <w:rsid w:val="00215599"/>
    <w:rsid w:val="0021642E"/>
    <w:rsid w:val="00225234"/>
    <w:rsid w:val="00227701"/>
    <w:rsid w:val="00231D7B"/>
    <w:rsid w:val="0023700B"/>
    <w:rsid w:val="00240687"/>
    <w:rsid w:val="0024344B"/>
    <w:rsid w:val="0025498C"/>
    <w:rsid w:val="002641A3"/>
    <w:rsid w:val="002659B5"/>
    <w:rsid w:val="00277A84"/>
    <w:rsid w:val="0028252B"/>
    <w:rsid w:val="00282537"/>
    <w:rsid w:val="002866C3"/>
    <w:rsid w:val="00287681"/>
    <w:rsid w:val="00295398"/>
    <w:rsid w:val="002A1D2E"/>
    <w:rsid w:val="002B79F2"/>
    <w:rsid w:val="002B7FB8"/>
    <w:rsid w:val="002C09C3"/>
    <w:rsid w:val="002C0EB1"/>
    <w:rsid w:val="002F50E4"/>
    <w:rsid w:val="0030315B"/>
    <w:rsid w:val="003156E0"/>
    <w:rsid w:val="00316D5A"/>
    <w:rsid w:val="00336DFD"/>
    <w:rsid w:val="00345ADB"/>
    <w:rsid w:val="00353261"/>
    <w:rsid w:val="0035626F"/>
    <w:rsid w:val="00363594"/>
    <w:rsid w:val="003868B8"/>
    <w:rsid w:val="00390346"/>
    <w:rsid w:val="00393734"/>
    <w:rsid w:val="003A18E7"/>
    <w:rsid w:val="003A6C1E"/>
    <w:rsid w:val="003B26C8"/>
    <w:rsid w:val="003C06C5"/>
    <w:rsid w:val="003C2989"/>
    <w:rsid w:val="003C2C5D"/>
    <w:rsid w:val="003D219A"/>
    <w:rsid w:val="003D4FC5"/>
    <w:rsid w:val="003D76CC"/>
    <w:rsid w:val="003E28C8"/>
    <w:rsid w:val="003E61E4"/>
    <w:rsid w:val="003F40C2"/>
    <w:rsid w:val="003F4FCD"/>
    <w:rsid w:val="00400555"/>
    <w:rsid w:val="00407F83"/>
    <w:rsid w:val="004131A1"/>
    <w:rsid w:val="00426D8D"/>
    <w:rsid w:val="004311A4"/>
    <w:rsid w:val="00436512"/>
    <w:rsid w:val="00447F7F"/>
    <w:rsid w:val="00452526"/>
    <w:rsid w:val="004526A8"/>
    <w:rsid w:val="004536B8"/>
    <w:rsid w:val="004B0A61"/>
    <w:rsid w:val="004C1BAB"/>
    <w:rsid w:val="004C4B8F"/>
    <w:rsid w:val="004C7E07"/>
    <w:rsid w:val="004D0C82"/>
    <w:rsid w:val="004D1A48"/>
    <w:rsid w:val="004D2201"/>
    <w:rsid w:val="004D6A03"/>
    <w:rsid w:val="004E65D5"/>
    <w:rsid w:val="004F039E"/>
    <w:rsid w:val="004F05DD"/>
    <w:rsid w:val="004F5000"/>
    <w:rsid w:val="00510DF3"/>
    <w:rsid w:val="00512BEF"/>
    <w:rsid w:val="00535E22"/>
    <w:rsid w:val="005361C0"/>
    <w:rsid w:val="00541E5F"/>
    <w:rsid w:val="00552884"/>
    <w:rsid w:val="005614CA"/>
    <w:rsid w:val="00564059"/>
    <w:rsid w:val="00567909"/>
    <w:rsid w:val="00584106"/>
    <w:rsid w:val="005950D8"/>
    <w:rsid w:val="005A1A38"/>
    <w:rsid w:val="005E2FF1"/>
    <w:rsid w:val="005E38B0"/>
    <w:rsid w:val="005F2EC3"/>
    <w:rsid w:val="005F4EF1"/>
    <w:rsid w:val="005F5AC4"/>
    <w:rsid w:val="006062F6"/>
    <w:rsid w:val="00613D61"/>
    <w:rsid w:val="006156A0"/>
    <w:rsid w:val="0061712A"/>
    <w:rsid w:val="0063101F"/>
    <w:rsid w:val="00631FDE"/>
    <w:rsid w:val="00635D66"/>
    <w:rsid w:val="00637534"/>
    <w:rsid w:val="006468BE"/>
    <w:rsid w:val="006545F4"/>
    <w:rsid w:val="00656D03"/>
    <w:rsid w:val="00664878"/>
    <w:rsid w:val="00665102"/>
    <w:rsid w:val="00670235"/>
    <w:rsid w:val="00674B6F"/>
    <w:rsid w:val="00675B48"/>
    <w:rsid w:val="006862EA"/>
    <w:rsid w:val="00695670"/>
    <w:rsid w:val="006A2BD4"/>
    <w:rsid w:val="006A4C5B"/>
    <w:rsid w:val="006C271D"/>
    <w:rsid w:val="006D0A7D"/>
    <w:rsid w:val="006D0B1C"/>
    <w:rsid w:val="006D0E81"/>
    <w:rsid w:val="006D1B0E"/>
    <w:rsid w:val="006D69A8"/>
    <w:rsid w:val="006E29B4"/>
    <w:rsid w:val="006E561E"/>
    <w:rsid w:val="006F3367"/>
    <w:rsid w:val="006F7350"/>
    <w:rsid w:val="00707352"/>
    <w:rsid w:val="0070780B"/>
    <w:rsid w:val="00725544"/>
    <w:rsid w:val="00726AD9"/>
    <w:rsid w:val="00734CED"/>
    <w:rsid w:val="00736D60"/>
    <w:rsid w:val="007504E0"/>
    <w:rsid w:val="00785C89"/>
    <w:rsid w:val="00796DF6"/>
    <w:rsid w:val="007A58BD"/>
    <w:rsid w:val="007B1C0B"/>
    <w:rsid w:val="007B1F74"/>
    <w:rsid w:val="007B49C4"/>
    <w:rsid w:val="007C7B6F"/>
    <w:rsid w:val="007D11BD"/>
    <w:rsid w:val="007D6EC6"/>
    <w:rsid w:val="007E4568"/>
    <w:rsid w:val="007F0259"/>
    <w:rsid w:val="007F3495"/>
    <w:rsid w:val="00802797"/>
    <w:rsid w:val="0080455F"/>
    <w:rsid w:val="00811DCD"/>
    <w:rsid w:val="0081773A"/>
    <w:rsid w:val="0081787A"/>
    <w:rsid w:val="00825CF5"/>
    <w:rsid w:val="00836612"/>
    <w:rsid w:val="00837A1D"/>
    <w:rsid w:val="00841A84"/>
    <w:rsid w:val="008465EC"/>
    <w:rsid w:val="008521A5"/>
    <w:rsid w:val="00853849"/>
    <w:rsid w:val="00857049"/>
    <w:rsid w:val="00872938"/>
    <w:rsid w:val="008733AE"/>
    <w:rsid w:val="00875408"/>
    <w:rsid w:val="00886CE6"/>
    <w:rsid w:val="00887C8F"/>
    <w:rsid w:val="00891187"/>
    <w:rsid w:val="008937A9"/>
    <w:rsid w:val="00893C21"/>
    <w:rsid w:val="008A4A1D"/>
    <w:rsid w:val="008E0BE6"/>
    <w:rsid w:val="008F53FC"/>
    <w:rsid w:val="00910E0D"/>
    <w:rsid w:val="00912F78"/>
    <w:rsid w:val="009170E3"/>
    <w:rsid w:val="00923E33"/>
    <w:rsid w:val="0092603E"/>
    <w:rsid w:val="00943591"/>
    <w:rsid w:val="00951C56"/>
    <w:rsid w:val="00967D14"/>
    <w:rsid w:val="009808CE"/>
    <w:rsid w:val="00984EC2"/>
    <w:rsid w:val="00985512"/>
    <w:rsid w:val="00990D92"/>
    <w:rsid w:val="009A419B"/>
    <w:rsid w:val="009A5137"/>
    <w:rsid w:val="009B05A0"/>
    <w:rsid w:val="009B4B18"/>
    <w:rsid w:val="009B5EE3"/>
    <w:rsid w:val="009C3513"/>
    <w:rsid w:val="009C5190"/>
    <w:rsid w:val="009D153C"/>
    <w:rsid w:val="009F1B8C"/>
    <w:rsid w:val="009F6EE3"/>
    <w:rsid w:val="00A2258B"/>
    <w:rsid w:val="00A23C08"/>
    <w:rsid w:val="00A24048"/>
    <w:rsid w:val="00A413CC"/>
    <w:rsid w:val="00A52403"/>
    <w:rsid w:val="00A55C18"/>
    <w:rsid w:val="00A66838"/>
    <w:rsid w:val="00A71A65"/>
    <w:rsid w:val="00A72892"/>
    <w:rsid w:val="00AA1796"/>
    <w:rsid w:val="00AA2DC2"/>
    <w:rsid w:val="00AA4CC6"/>
    <w:rsid w:val="00AA7AB5"/>
    <w:rsid w:val="00AA7C2C"/>
    <w:rsid w:val="00AB250A"/>
    <w:rsid w:val="00AC4B33"/>
    <w:rsid w:val="00AC5591"/>
    <w:rsid w:val="00AD1383"/>
    <w:rsid w:val="00AD153F"/>
    <w:rsid w:val="00AD314B"/>
    <w:rsid w:val="00AF26B7"/>
    <w:rsid w:val="00AF3767"/>
    <w:rsid w:val="00AF37EF"/>
    <w:rsid w:val="00AF6478"/>
    <w:rsid w:val="00AF6E96"/>
    <w:rsid w:val="00B07963"/>
    <w:rsid w:val="00B07C01"/>
    <w:rsid w:val="00B12905"/>
    <w:rsid w:val="00B14786"/>
    <w:rsid w:val="00B14991"/>
    <w:rsid w:val="00B154D9"/>
    <w:rsid w:val="00B22FF1"/>
    <w:rsid w:val="00B252A8"/>
    <w:rsid w:val="00B26E60"/>
    <w:rsid w:val="00B31DE8"/>
    <w:rsid w:val="00B357BB"/>
    <w:rsid w:val="00B4468A"/>
    <w:rsid w:val="00B454C8"/>
    <w:rsid w:val="00B45AFF"/>
    <w:rsid w:val="00B47316"/>
    <w:rsid w:val="00B65A70"/>
    <w:rsid w:val="00B6737B"/>
    <w:rsid w:val="00B74DFC"/>
    <w:rsid w:val="00B77B5A"/>
    <w:rsid w:val="00B80F11"/>
    <w:rsid w:val="00B83144"/>
    <w:rsid w:val="00B92771"/>
    <w:rsid w:val="00B95414"/>
    <w:rsid w:val="00B96C51"/>
    <w:rsid w:val="00BA562E"/>
    <w:rsid w:val="00BA7387"/>
    <w:rsid w:val="00BB1674"/>
    <w:rsid w:val="00BB19AA"/>
    <w:rsid w:val="00BB7405"/>
    <w:rsid w:val="00BC1C1F"/>
    <w:rsid w:val="00BD65E8"/>
    <w:rsid w:val="00BD6B30"/>
    <w:rsid w:val="00BF6129"/>
    <w:rsid w:val="00C0158D"/>
    <w:rsid w:val="00C03FB5"/>
    <w:rsid w:val="00C047A3"/>
    <w:rsid w:val="00C160BB"/>
    <w:rsid w:val="00C20312"/>
    <w:rsid w:val="00C20DBF"/>
    <w:rsid w:val="00C21681"/>
    <w:rsid w:val="00C23315"/>
    <w:rsid w:val="00C34654"/>
    <w:rsid w:val="00C47F9E"/>
    <w:rsid w:val="00C518B9"/>
    <w:rsid w:val="00C5495B"/>
    <w:rsid w:val="00C55AA1"/>
    <w:rsid w:val="00C56840"/>
    <w:rsid w:val="00C65D44"/>
    <w:rsid w:val="00C71C0B"/>
    <w:rsid w:val="00C71F5D"/>
    <w:rsid w:val="00C82996"/>
    <w:rsid w:val="00CA1D1C"/>
    <w:rsid w:val="00CA2E0C"/>
    <w:rsid w:val="00CB031D"/>
    <w:rsid w:val="00CB737B"/>
    <w:rsid w:val="00CD3488"/>
    <w:rsid w:val="00CE1BAE"/>
    <w:rsid w:val="00CF45F3"/>
    <w:rsid w:val="00D11194"/>
    <w:rsid w:val="00D214E9"/>
    <w:rsid w:val="00D242A7"/>
    <w:rsid w:val="00D2433E"/>
    <w:rsid w:val="00D27A5C"/>
    <w:rsid w:val="00D339E9"/>
    <w:rsid w:val="00D3516F"/>
    <w:rsid w:val="00D41A8F"/>
    <w:rsid w:val="00D41AC3"/>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B13B7"/>
    <w:rsid w:val="00DB33D1"/>
    <w:rsid w:val="00DC4834"/>
    <w:rsid w:val="00DC63ED"/>
    <w:rsid w:val="00DD5CA1"/>
    <w:rsid w:val="00DE1422"/>
    <w:rsid w:val="00DE77FF"/>
    <w:rsid w:val="00DE7B03"/>
    <w:rsid w:val="00DE7F5C"/>
    <w:rsid w:val="00E22E4F"/>
    <w:rsid w:val="00E40D54"/>
    <w:rsid w:val="00E431EC"/>
    <w:rsid w:val="00E463E4"/>
    <w:rsid w:val="00E53B7C"/>
    <w:rsid w:val="00E5427C"/>
    <w:rsid w:val="00E62344"/>
    <w:rsid w:val="00E852B7"/>
    <w:rsid w:val="00E966DA"/>
    <w:rsid w:val="00EB7A25"/>
    <w:rsid w:val="00EC05D1"/>
    <w:rsid w:val="00EC796B"/>
    <w:rsid w:val="00ED6CDB"/>
    <w:rsid w:val="00EE0B0D"/>
    <w:rsid w:val="00F02080"/>
    <w:rsid w:val="00F06C6D"/>
    <w:rsid w:val="00F0728B"/>
    <w:rsid w:val="00F470F6"/>
    <w:rsid w:val="00F56244"/>
    <w:rsid w:val="00F579A2"/>
    <w:rsid w:val="00F57DB2"/>
    <w:rsid w:val="00F71B59"/>
    <w:rsid w:val="00F76581"/>
    <w:rsid w:val="00F76FDD"/>
    <w:rsid w:val="00F86110"/>
    <w:rsid w:val="00F8799C"/>
    <w:rsid w:val="00F93B8D"/>
    <w:rsid w:val="00F940C4"/>
    <w:rsid w:val="00F94929"/>
    <w:rsid w:val="00FA02CA"/>
    <w:rsid w:val="00FB0F06"/>
    <w:rsid w:val="00FB7DE5"/>
    <w:rsid w:val="00FC103F"/>
    <w:rsid w:val="00FC6DE5"/>
    <w:rsid w:val="00FD07F0"/>
    <w:rsid w:val="00FD4E4C"/>
    <w:rsid w:val="00FE14C4"/>
    <w:rsid w:val="00FE659F"/>
    <w:rsid w:val="00FF1824"/>
    <w:rsid w:val="00FF3D1A"/>
    <w:rsid w:val="00FF4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8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E586A-9D6C-474D-9C8F-B32F21D4E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2457</Words>
  <Characters>14499</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6</cp:revision>
  <cp:lastPrinted>2014-05-21T11:32:00Z</cp:lastPrinted>
  <dcterms:created xsi:type="dcterms:W3CDTF">2014-05-21T10:41:00Z</dcterms:created>
  <dcterms:modified xsi:type="dcterms:W3CDTF">2014-05-22T05:58:00Z</dcterms:modified>
</cp:coreProperties>
</file>