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AB" w:rsidRDefault="00FD54AB" w:rsidP="00FD54AB">
      <w:pPr>
        <w:pStyle w:val="Adresa"/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</w:tabs>
        <w:ind w:left="540"/>
        <w:jc w:val="both"/>
        <w:rPr>
          <w:rFonts w:cs="Arial"/>
          <w:sz w:val="20"/>
        </w:rPr>
      </w:pPr>
      <w:r>
        <w:rPr>
          <w:rFonts w:cs="Arial"/>
          <w:sz w:val="20"/>
        </w:rPr>
        <w:t>Příloha č. 1 zadávací dokumentace zakázky č. 112/14/OCN vypracované s využitím postupů dle zákona č. 137/2006 Sb., o veřejných zakázkách, v platném znění, s názvem</w:t>
      </w:r>
    </w:p>
    <w:p w:rsidR="00FD54AB" w:rsidRDefault="00FD54AB" w:rsidP="00FD54AB">
      <w:pPr>
        <w:pStyle w:val="Adresa"/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</w:tabs>
        <w:ind w:left="540"/>
        <w:jc w:val="both"/>
        <w:rPr>
          <w:rFonts w:cs="Arial"/>
          <w:sz w:val="20"/>
        </w:rPr>
      </w:pPr>
    </w:p>
    <w:p w:rsidR="00FD54AB" w:rsidRPr="00FD54AB" w:rsidRDefault="00FD54AB" w:rsidP="00FD54AB">
      <w:pPr>
        <w:pStyle w:val="Adresa"/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</w:tabs>
        <w:ind w:left="540"/>
        <w:jc w:val="both"/>
        <w:rPr>
          <w:rFonts w:cs="Arial"/>
          <w:sz w:val="20"/>
        </w:rPr>
      </w:pPr>
      <w:r w:rsidRPr="00CB70FB">
        <w:rPr>
          <w:b/>
          <w:sz w:val="32"/>
          <w:szCs w:val="32"/>
        </w:rPr>
        <w:t>„</w:t>
      </w:r>
      <w:bookmarkStart w:id="0" w:name="OLE_LINK2"/>
      <w:r w:rsidRPr="00093478">
        <w:rPr>
          <w:b/>
          <w:sz w:val="32"/>
          <w:szCs w:val="32"/>
        </w:rPr>
        <w:t>Pojištění odpovědnosti za újmu společnosti ČEPRO, a.s.</w:t>
      </w:r>
      <w:bookmarkEnd w:id="0"/>
      <w:r w:rsidRPr="00CB70FB">
        <w:rPr>
          <w:b/>
          <w:sz w:val="32"/>
          <w:szCs w:val="32"/>
        </w:rPr>
        <w:t>“</w:t>
      </w:r>
    </w:p>
    <w:p w:rsidR="00FD54AB" w:rsidRDefault="00FD54AB" w:rsidP="00FD54AB">
      <w:pPr>
        <w:widowControl/>
        <w:adjustRightInd/>
        <w:spacing w:line="240" w:lineRule="auto"/>
        <w:ind w:left="540"/>
        <w:textAlignment w:val="auto"/>
        <w:rPr>
          <w:rFonts w:ascii="Arial" w:hAnsi="Arial" w:cs="Arial"/>
          <w:sz w:val="20"/>
          <w:szCs w:val="20"/>
        </w:rPr>
      </w:pPr>
    </w:p>
    <w:p w:rsidR="00E121DE" w:rsidRPr="00E121DE" w:rsidRDefault="00E121DE" w:rsidP="00FD54AB">
      <w:pPr>
        <w:widowControl/>
        <w:adjustRightInd/>
        <w:spacing w:line="240" w:lineRule="auto"/>
        <w:ind w:left="540"/>
        <w:textAlignment w:val="auto"/>
        <w:rPr>
          <w:rFonts w:ascii="Arial" w:hAnsi="Arial" w:cs="Arial"/>
          <w:sz w:val="20"/>
          <w:szCs w:val="20"/>
        </w:rPr>
      </w:pPr>
    </w:p>
    <w:p w:rsidR="00FD54AB" w:rsidRDefault="00FD54AB" w:rsidP="00FD54AB">
      <w:pPr>
        <w:widowControl/>
        <w:adjustRightInd/>
        <w:spacing w:line="240" w:lineRule="auto"/>
        <w:ind w:left="54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 požaduje pojištění odpovědnosti za újmu dle požadavků a za podmínek uvedených níže v této příloze zadávací dokumentace.</w:t>
      </w:r>
    </w:p>
    <w:p w:rsidR="00FD54AB" w:rsidRDefault="00FD54AB" w:rsidP="00FD54AB">
      <w:pPr>
        <w:widowControl/>
        <w:adjustRightInd/>
        <w:spacing w:line="240" w:lineRule="auto"/>
        <w:ind w:left="540"/>
        <w:textAlignment w:val="auto"/>
        <w:rPr>
          <w:rFonts w:ascii="Arial" w:hAnsi="Arial" w:cs="Arial"/>
          <w:sz w:val="20"/>
          <w:szCs w:val="20"/>
        </w:rPr>
      </w:pPr>
    </w:p>
    <w:p w:rsidR="00FD54AB" w:rsidRDefault="00FD54AB" w:rsidP="00FD54AB">
      <w:pPr>
        <w:widowControl/>
        <w:adjustRightInd/>
        <w:spacing w:line="240" w:lineRule="auto"/>
        <w:ind w:left="54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 zpracoval níže uvedené zadání co nejlépe s ohledem na své znalosti. V případě, že některý z požadavků zadavatele není dodavateli zcela zřejmý nebo je dle jeho názoru nedostatečně specifikován, žádá zadavatel dodavatele, aby dle článku 9.2 zadávací dokumentace požádal zadavatele o dodatečné informace tak, aby bylo možné daný požadavek lépe specifikovat.</w:t>
      </w:r>
    </w:p>
    <w:p w:rsidR="00FD54AB" w:rsidRDefault="00FD54AB" w:rsidP="00FD54AB">
      <w:pPr>
        <w:spacing w:line="240" w:lineRule="auto"/>
        <w:rPr>
          <w:rFonts w:ascii="Arial" w:hAnsi="Arial" w:cs="Arial"/>
          <w:sz w:val="20"/>
          <w:szCs w:val="20"/>
        </w:rPr>
      </w:pPr>
    </w:p>
    <w:p w:rsidR="00FD54AB" w:rsidRDefault="00FD54AB" w:rsidP="0046076C">
      <w:pPr>
        <w:widowControl/>
        <w:adjustRightInd/>
        <w:spacing w:line="240" w:lineRule="auto"/>
        <w:ind w:left="540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p</w:t>
      </w:r>
      <w:r w:rsidR="0046076C" w:rsidRPr="00FD54AB">
        <w:rPr>
          <w:rFonts w:ascii="Arial" w:hAnsi="Arial" w:cs="Arial"/>
          <w:b/>
          <w:sz w:val="20"/>
          <w:szCs w:val="20"/>
        </w:rPr>
        <w:t>ojištění</w:t>
      </w:r>
      <w:r>
        <w:rPr>
          <w:rFonts w:ascii="Arial" w:hAnsi="Arial" w:cs="Arial"/>
          <w:b/>
          <w:sz w:val="20"/>
          <w:szCs w:val="20"/>
        </w:rPr>
        <w:t>:</w:t>
      </w:r>
      <w:r w:rsidR="0046076C" w:rsidRPr="00FD54AB">
        <w:rPr>
          <w:rFonts w:ascii="Arial" w:hAnsi="Arial" w:cs="Arial"/>
          <w:b/>
          <w:sz w:val="20"/>
          <w:szCs w:val="20"/>
        </w:rPr>
        <w:t xml:space="preserve"> </w:t>
      </w:r>
    </w:p>
    <w:p w:rsidR="00FD54AB" w:rsidRPr="0066211F" w:rsidRDefault="0046076C" w:rsidP="00FD54AB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 w:rsidRPr="00FD54AB">
        <w:rPr>
          <w:rFonts w:ascii="Arial" w:hAnsi="Arial" w:cs="Arial"/>
          <w:b/>
          <w:sz w:val="20"/>
          <w:szCs w:val="20"/>
        </w:rPr>
        <w:t xml:space="preserve">odpovědnost za </w:t>
      </w:r>
      <w:r w:rsidR="00DD696A" w:rsidRPr="00FD54AB">
        <w:rPr>
          <w:rFonts w:ascii="Arial" w:hAnsi="Arial" w:cs="Arial"/>
          <w:b/>
          <w:sz w:val="20"/>
          <w:szCs w:val="20"/>
        </w:rPr>
        <w:t>újmu</w:t>
      </w:r>
      <w:r w:rsidR="00FD54AB" w:rsidRPr="00FD54AB">
        <w:rPr>
          <w:rFonts w:ascii="Arial" w:hAnsi="Arial" w:cs="Arial"/>
          <w:b/>
          <w:sz w:val="20"/>
          <w:szCs w:val="20"/>
        </w:rPr>
        <w:t xml:space="preserve"> </w:t>
      </w:r>
      <w:r w:rsidR="00FD54AB" w:rsidRPr="00FD54AB">
        <w:rPr>
          <w:rFonts w:ascii="Arial" w:hAnsi="Arial" w:cs="Arial"/>
          <w:sz w:val="20"/>
          <w:szCs w:val="20"/>
        </w:rPr>
        <w:t>způsobenou třetí straně provozní činností zadavatele</w:t>
      </w:r>
      <w:r w:rsidR="007F6AFE">
        <w:rPr>
          <w:rFonts w:ascii="Arial" w:hAnsi="Arial" w:cs="Arial"/>
          <w:sz w:val="20"/>
          <w:szCs w:val="20"/>
        </w:rPr>
        <w:t xml:space="preserve"> (</w:t>
      </w:r>
      <w:r w:rsidR="004642A4">
        <w:rPr>
          <w:rFonts w:ascii="Arial" w:hAnsi="Arial" w:cs="Arial"/>
          <w:sz w:val="20"/>
          <w:szCs w:val="20"/>
        </w:rPr>
        <w:t xml:space="preserve">zejm. </w:t>
      </w:r>
      <w:r w:rsidR="007F6AFE">
        <w:rPr>
          <w:rFonts w:ascii="Arial" w:hAnsi="Arial" w:cs="Arial"/>
          <w:sz w:val="20"/>
          <w:szCs w:val="20"/>
        </w:rPr>
        <w:t xml:space="preserve">§ 2924 a </w:t>
      </w:r>
      <w:r w:rsidR="004642A4">
        <w:rPr>
          <w:rFonts w:ascii="Arial" w:hAnsi="Arial" w:cs="Arial"/>
          <w:sz w:val="20"/>
          <w:szCs w:val="20"/>
        </w:rPr>
        <w:t xml:space="preserve">§ </w:t>
      </w:r>
      <w:r w:rsidR="007F6AFE">
        <w:rPr>
          <w:rFonts w:ascii="Arial" w:hAnsi="Arial" w:cs="Arial"/>
          <w:sz w:val="20"/>
          <w:szCs w:val="20"/>
        </w:rPr>
        <w:t>2925</w:t>
      </w:r>
      <w:r w:rsidR="003C6027">
        <w:rPr>
          <w:rFonts w:ascii="Arial" w:hAnsi="Arial" w:cs="Arial"/>
          <w:sz w:val="20"/>
          <w:szCs w:val="20"/>
        </w:rPr>
        <w:t xml:space="preserve">, </w:t>
      </w:r>
      <w:r w:rsidR="007F6A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6AFE">
        <w:rPr>
          <w:rFonts w:ascii="Arial" w:hAnsi="Arial" w:cs="Arial"/>
          <w:sz w:val="20"/>
          <w:szCs w:val="20"/>
        </w:rPr>
        <w:t>z.č</w:t>
      </w:r>
      <w:proofErr w:type="spellEnd"/>
      <w:r w:rsidR="007F6AFE">
        <w:rPr>
          <w:rFonts w:ascii="Arial" w:hAnsi="Arial" w:cs="Arial"/>
          <w:sz w:val="20"/>
          <w:szCs w:val="20"/>
        </w:rPr>
        <w:t>. 89/2012 Sb.)</w:t>
      </w:r>
      <w:r w:rsidR="00FD54AB" w:rsidRPr="00FD54AB">
        <w:rPr>
          <w:rFonts w:ascii="Arial" w:hAnsi="Arial" w:cs="Arial"/>
          <w:sz w:val="20"/>
          <w:szCs w:val="20"/>
        </w:rPr>
        <w:t xml:space="preserve"> včetně pojištění odpovědnosti za újmu způsobenou vadou </w:t>
      </w:r>
      <w:proofErr w:type="spellStart"/>
      <w:proofErr w:type="gramStart"/>
      <w:r w:rsidR="00FD54AB" w:rsidRPr="00FD54AB">
        <w:rPr>
          <w:rFonts w:ascii="Arial" w:hAnsi="Arial" w:cs="Arial"/>
          <w:sz w:val="20"/>
          <w:szCs w:val="20"/>
        </w:rPr>
        <w:t>výrobku,pojištění</w:t>
      </w:r>
      <w:proofErr w:type="spellEnd"/>
      <w:proofErr w:type="gramEnd"/>
      <w:r w:rsidR="00FD54AB" w:rsidRPr="00FD54AB">
        <w:rPr>
          <w:rFonts w:ascii="Arial" w:hAnsi="Arial" w:cs="Arial"/>
          <w:sz w:val="20"/>
          <w:szCs w:val="20"/>
        </w:rPr>
        <w:t xml:space="preserve"> ekologické újmy a pojištění závažných havárií dle zákona č. 59/2006 Sb., o prevenci závažných havárií, ve znění pozdějších předpisů</w:t>
      </w:r>
      <w:r w:rsidR="00FD54AB">
        <w:rPr>
          <w:rFonts w:ascii="Arial" w:hAnsi="Arial" w:cs="Arial"/>
          <w:sz w:val="20"/>
          <w:szCs w:val="20"/>
        </w:rPr>
        <w:t>, dle specifikace uvedené v tabulce níže.</w:t>
      </w:r>
    </w:p>
    <w:p w:rsidR="00EA7B5F" w:rsidRPr="00FD54AB" w:rsidRDefault="00EA7B5F" w:rsidP="00EA7B5F">
      <w:pPr>
        <w:pStyle w:val="Adresa"/>
        <w:numPr>
          <w:ilvl w:val="0"/>
          <w:numId w:val="12"/>
        </w:num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</w:tabs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p</w:t>
      </w:r>
      <w:r w:rsidRPr="00FD54AB">
        <w:rPr>
          <w:rFonts w:cs="Arial"/>
          <w:b/>
          <w:sz w:val="20"/>
        </w:rPr>
        <w:t>ojištění odpovědnosti se</w:t>
      </w:r>
      <w:r>
        <w:rPr>
          <w:rFonts w:cs="Arial"/>
          <w:b/>
          <w:sz w:val="20"/>
        </w:rPr>
        <w:t xml:space="preserve"> musí</w:t>
      </w:r>
      <w:r w:rsidRPr="00FD54AB">
        <w:rPr>
          <w:rFonts w:cs="Arial"/>
          <w:b/>
          <w:sz w:val="20"/>
        </w:rPr>
        <w:t xml:space="preserve"> vztah</w:t>
      </w:r>
      <w:r>
        <w:rPr>
          <w:rFonts w:cs="Arial"/>
          <w:b/>
          <w:sz w:val="20"/>
        </w:rPr>
        <w:t>ovat</w:t>
      </w:r>
      <w:r w:rsidRPr="00FD54AB">
        <w:rPr>
          <w:rFonts w:cs="Arial"/>
          <w:b/>
          <w:sz w:val="20"/>
        </w:rPr>
        <w:t xml:space="preserve"> i na finanční újmu, která má původ ve škodě na zdraví, majetku nebo věci.</w:t>
      </w:r>
    </w:p>
    <w:p w:rsidR="00EA7B5F" w:rsidRPr="00FD54AB" w:rsidRDefault="00EA7B5F" w:rsidP="0066211F">
      <w:pPr>
        <w:pStyle w:val="Odstavecseseznamem"/>
        <w:ind w:left="900"/>
        <w:jc w:val="both"/>
        <w:rPr>
          <w:rFonts w:ascii="Arial" w:hAnsi="Arial" w:cs="Arial"/>
          <w:b/>
          <w:sz w:val="20"/>
          <w:szCs w:val="20"/>
        </w:rPr>
      </w:pPr>
    </w:p>
    <w:p w:rsidR="00560CF5" w:rsidRDefault="00560CF5" w:rsidP="00FD54AB">
      <w:pPr>
        <w:ind w:firstLine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Jedná se o pojištění škodové.</w:t>
      </w:r>
    </w:p>
    <w:p w:rsidR="00FD54AB" w:rsidRDefault="00FD54AB" w:rsidP="00FD54AB">
      <w:pPr>
        <w:ind w:firstLine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Územní rozsah pojištění:</w:t>
      </w:r>
    </w:p>
    <w:p w:rsidR="0046076C" w:rsidRPr="00FD54AB" w:rsidRDefault="0046076C" w:rsidP="00FD54AB">
      <w:pPr>
        <w:ind w:left="540"/>
        <w:rPr>
          <w:rFonts w:ascii="Arial" w:hAnsi="Arial" w:cs="Arial"/>
          <w:b/>
          <w:sz w:val="20"/>
          <w:szCs w:val="20"/>
        </w:rPr>
      </w:pPr>
      <w:r w:rsidRPr="00FD54AB">
        <w:rPr>
          <w:rFonts w:ascii="Arial" w:hAnsi="Arial" w:cs="Arial"/>
          <w:b/>
          <w:sz w:val="20"/>
          <w:szCs w:val="20"/>
        </w:rPr>
        <w:t xml:space="preserve"> – </w:t>
      </w:r>
      <w:r w:rsidRPr="00FD54AB">
        <w:rPr>
          <w:rFonts w:ascii="Arial" w:hAnsi="Arial" w:cs="Arial"/>
          <w:sz w:val="20"/>
          <w:szCs w:val="20"/>
        </w:rPr>
        <w:t>územní rozsah</w:t>
      </w:r>
      <w:r w:rsidRPr="00FD54AB">
        <w:rPr>
          <w:rFonts w:ascii="Arial" w:hAnsi="Arial" w:cs="Arial"/>
          <w:b/>
          <w:sz w:val="20"/>
          <w:szCs w:val="20"/>
        </w:rPr>
        <w:t xml:space="preserve"> Česká republika</w:t>
      </w:r>
      <w:r w:rsidR="00FD54AB" w:rsidRPr="00FD54AB">
        <w:rPr>
          <w:rFonts w:ascii="Arial" w:hAnsi="Arial" w:cs="Arial"/>
          <w:b/>
          <w:sz w:val="20"/>
          <w:szCs w:val="20"/>
        </w:rPr>
        <w:t>.</w:t>
      </w:r>
    </w:p>
    <w:p w:rsidR="00FD54AB" w:rsidRPr="00FD54AB" w:rsidRDefault="00FD54AB" w:rsidP="0046076C">
      <w:pPr>
        <w:widowControl/>
        <w:adjustRightInd/>
        <w:spacing w:line="240" w:lineRule="auto"/>
        <w:ind w:left="540"/>
        <w:textAlignment w:val="auto"/>
        <w:rPr>
          <w:rFonts w:ascii="Arial" w:hAnsi="Arial" w:cs="Arial"/>
          <w:b/>
          <w:sz w:val="20"/>
          <w:szCs w:val="20"/>
        </w:rPr>
      </w:pPr>
    </w:p>
    <w:p w:rsidR="00792A01" w:rsidRPr="00FD54AB" w:rsidRDefault="00792A01" w:rsidP="002E3C1E">
      <w:pPr>
        <w:widowControl/>
        <w:adjustRightInd/>
        <w:spacing w:line="240" w:lineRule="auto"/>
        <w:ind w:left="539"/>
        <w:textAlignment w:val="auto"/>
        <w:rPr>
          <w:rFonts w:ascii="Arial" w:hAnsi="Arial" w:cs="Arial"/>
          <w:b/>
          <w:sz w:val="20"/>
          <w:szCs w:val="20"/>
        </w:rPr>
      </w:pPr>
    </w:p>
    <w:p w:rsidR="00DD696A" w:rsidRPr="00FD54AB" w:rsidRDefault="002E3C1E" w:rsidP="002E3C1E">
      <w:pPr>
        <w:widowControl/>
        <w:adjustRightInd/>
        <w:spacing w:line="240" w:lineRule="auto"/>
        <w:ind w:left="539"/>
        <w:textAlignment w:val="auto"/>
        <w:rPr>
          <w:rFonts w:ascii="Arial" w:hAnsi="Arial" w:cs="Arial"/>
          <w:b/>
          <w:sz w:val="20"/>
          <w:szCs w:val="20"/>
        </w:rPr>
      </w:pPr>
      <w:r w:rsidRPr="00FD54AB">
        <w:rPr>
          <w:rFonts w:ascii="Arial" w:hAnsi="Arial" w:cs="Arial"/>
          <w:b/>
          <w:sz w:val="20"/>
          <w:szCs w:val="20"/>
        </w:rPr>
        <w:t xml:space="preserve">Retroaktivní datum:  </w:t>
      </w:r>
    </w:p>
    <w:p w:rsidR="002E3C1E" w:rsidRPr="00FD54AB" w:rsidRDefault="002E3C1E" w:rsidP="00DD696A">
      <w:pPr>
        <w:widowControl/>
        <w:numPr>
          <w:ilvl w:val="0"/>
          <w:numId w:val="9"/>
        </w:numPr>
        <w:adjustRightInd/>
        <w:spacing w:line="240" w:lineRule="auto"/>
        <w:textAlignment w:val="auto"/>
        <w:rPr>
          <w:rFonts w:ascii="Arial" w:hAnsi="Arial" w:cs="Arial"/>
          <w:b/>
          <w:sz w:val="20"/>
          <w:szCs w:val="20"/>
        </w:rPr>
      </w:pPr>
      <w:proofErr w:type="gramStart"/>
      <w:r w:rsidRPr="00FD54AB">
        <w:rPr>
          <w:rFonts w:ascii="Arial" w:hAnsi="Arial" w:cs="Arial"/>
          <w:b/>
          <w:sz w:val="20"/>
          <w:szCs w:val="20"/>
        </w:rPr>
        <w:t>1.8.2003</w:t>
      </w:r>
      <w:proofErr w:type="gramEnd"/>
      <w:r w:rsidRPr="00FD54AB">
        <w:rPr>
          <w:rFonts w:ascii="Arial" w:hAnsi="Arial" w:cs="Arial"/>
          <w:b/>
          <w:sz w:val="20"/>
          <w:szCs w:val="20"/>
        </w:rPr>
        <w:t xml:space="preserve"> pro odpovědnost za znečištění životního prostředí a odpovědnost za </w:t>
      </w:r>
      <w:r w:rsidR="00792A01" w:rsidRPr="00FD54AB">
        <w:rPr>
          <w:rFonts w:ascii="Arial" w:hAnsi="Arial" w:cs="Arial"/>
          <w:b/>
          <w:sz w:val="20"/>
          <w:szCs w:val="20"/>
        </w:rPr>
        <w:t>újmu</w:t>
      </w:r>
      <w:r w:rsidRPr="00FD54AB">
        <w:rPr>
          <w:rFonts w:ascii="Arial" w:hAnsi="Arial" w:cs="Arial"/>
          <w:b/>
          <w:sz w:val="20"/>
          <w:szCs w:val="20"/>
        </w:rPr>
        <w:t xml:space="preserve"> vzniklou v důsledku závažné havárie dle zákona č. 59/2006 Sb. </w:t>
      </w:r>
    </w:p>
    <w:p w:rsidR="00DD696A" w:rsidRPr="00FD54AB" w:rsidRDefault="00DD696A" w:rsidP="00DD696A">
      <w:pPr>
        <w:widowControl/>
        <w:numPr>
          <w:ilvl w:val="0"/>
          <w:numId w:val="9"/>
        </w:numPr>
        <w:adjustRightInd/>
        <w:spacing w:line="240" w:lineRule="auto"/>
        <w:textAlignment w:val="auto"/>
        <w:rPr>
          <w:rFonts w:ascii="Arial" w:hAnsi="Arial" w:cs="Arial"/>
          <w:b/>
          <w:sz w:val="20"/>
          <w:szCs w:val="20"/>
        </w:rPr>
      </w:pPr>
      <w:proofErr w:type="gramStart"/>
      <w:r w:rsidRPr="00FD54AB">
        <w:rPr>
          <w:rFonts w:ascii="Arial" w:hAnsi="Arial" w:cs="Arial"/>
          <w:b/>
          <w:sz w:val="20"/>
          <w:szCs w:val="20"/>
        </w:rPr>
        <w:t>6.3.2014</w:t>
      </w:r>
      <w:proofErr w:type="gramEnd"/>
      <w:r w:rsidRPr="00FD54AB">
        <w:rPr>
          <w:rFonts w:ascii="Arial" w:hAnsi="Arial" w:cs="Arial"/>
          <w:b/>
          <w:sz w:val="20"/>
          <w:szCs w:val="20"/>
        </w:rPr>
        <w:t xml:space="preserve"> pro pojištění nákladů na nápravná opatření (dekontaminace apod.), které je povinen pojištěný uhradit nad/mimo rámec odpovědnosti za újmu</w:t>
      </w:r>
      <w:r w:rsidR="007124EB" w:rsidRPr="00FD54AB">
        <w:rPr>
          <w:rFonts w:ascii="Arial" w:hAnsi="Arial" w:cs="Arial"/>
          <w:b/>
          <w:sz w:val="20"/>
          <w:szCs w:val="20"/>
        </w:rPr>
        <w:t>.</w:t>
      </w:r>
    </w:p>
    <w:p w:rsidR="00DD696A" w:rsidRPr="00FD54AB" w:rsidRDefault="00DD696A" w:rsidP="00DD696A">
      <w:pPr>
        <w:widowControl/>
        <w:numPr>
          <w:ilvl w:val="0"/>
          <w:numId w:val="9"/>
        </w:numPr>
        <w:adjustRightInd/>
        <w:spacing w:line="240" w:lineRule="auto"/>
        <w:textAlignment w:val="auto"/>
        <w:rPr>
          <w:rFonts w:ascii="Arial" w:hAnsi="Arial" w:cs="Arial"/>
          <w:b/>
          <w:sz w:val="20"/>
          <w:szCs w:val="20"/>
        </w:rPr>
      </w:pPr>
      <w:proofErr w:type="gramStart"/>
      <w:r w:rsidRPr="00FD54AB">
        <w:rPr>
          <w:rFonts w:ascii="Arial" w:hAnsi="Arial" w:cs="Arial"/>
          <w:b/>
          <w:sz w:val="20"/>
          <w:szCs w:val="20"/>
        </w:rPr>
        <w:t>6.3.2014</w:t>
      </w:r>
      <w:proofErr w:type="gramEnd"/>
      <w:r w:rsidRPr="00FD54AB">
        <w:rPr>
          <w:rFonts w:ascii="Arial" w:hAnsi="Arial" w:cs="Arial"/>
          <w:b/>
          <w:sz w:val="20"/>
          <w:szCs w:val="20"/>
        </w:rPr>
        <w:t xml:space="preserve"> pro pojištění nákladů na preventivní nebo nápravná opatření</w:t>
      </w:r>
      <w:r w:rsidR="007124EB" w:rsidRPr="00FD54AB">
        <w:rPr>
          <w:rFonts w:ascii="Arial" w:hAnsi="Arial" w:cs="Arial"/>
          <w:b/>
          <w:sz w:val="20"/>
          <w:szCs w:val="20"/>
        </w:rPr>
        <w:t>,</w:t>
      </w:r>
      <w:r w:rsidRPr="00FD54AB">
        <w:rPr>
          <w:rFonts w:ascii="Arial" w:hAnsi="Arial" w:cs="Arial"/>
          <w:b/>
          <w:sz w:val="20"/>
          <w:szCs w:val="20"/>
        </w:rPr>
        <w:t xml:space="preserve"> které je povinen pojištěný uhradit ze zákona</w:t>
      </w:r>
      <w:r w:rsidR="00EA7B5F">
        <w:rPr>
          <w:rFonts w:ascii="Arial" w:hAnsi="Arial" w:cs="Arial"/>
          <w:b/>
          <w:sz w:val="20"/>
          <w:szCs w:val="20"/>
        </w:rPr>
        <w:t>/obecně platných právních předpisů</w:t>
      </w:r>
      <w:r w:rsidRPr="00FD54AB">
        <w:rPr>
          <w:rFonts w:ascii="Arial" w:hAnsi="Arial" w:cs="Arial"/>
          <w:b/>
          <w:sz w:val="20"/>
          <w:szCs w:val="20"/>
        </w:rPr>
        <w:t>, v případě zhoršení funkce přírodních zdrojů při znečištění (ekologická újma)</w:t>
      </w:r>
      <w:r w:rsidR="007124EB" w:rsidRPr="00FD54AB">
        <w:rPr>
          <w:rFonts w:ascii="Arial" w:hAnsi="Arial" w:cs="Arial"/>
          <w:b/>
          <w:sz w:val="20"/>
          <w:szCs w:val="20"/>
        </w:rPr>
        <w:t>.</w:t>
      </w:r>
    </w:p>
    <w:p w:rsidR="002E3C1E" w:rsidRPr="00FD54AB" w:rsidRDefault="002E3C1E" w:rsidP="005F3645">
      <w:pPr>
        <w:pStyle w:val="Adresa"/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</w:tabs>
        <w:ind w:left="540"/>
        <w:jc w:val="both"/>
        <w:rPr>
          <w:rFonts w:cs="Arial"/>
          <w:b/>
          <w:sz w:val="20"/>
        </w:rPr>
      </w:pPr>
    </w:p>
    <w:p w:rsidR="0046076C" w:rsidRPr="00FD54AB" w:rsidRDefault="0046076C" w:rsidP="0046076C">
      <w:pPr>
        <w:widowControl/>
        <w:adjustRightInd/>
        <w:spacing w:line="240" w:lineRule="auto"/>
        <w:ind w:left="567"/>
        <w:textAlignment w:val="auto"/>
        <w:rPr>
          <w:rFonts w:ascii="Arial" w:hAnsi="Arial" w:cs="Arial"/>
          <w:b/>
          <w:sz w:val="20"/>
          <w:szCs w:val="20"/>
        </w:rPr>
      </w:pPr>
    </w:p>
    <w:p w:rsidR="0046076C" w:rsidRPr="00FD54AB" w:rsidRDefault="0046076C" w:rsidP="0046076C">
      <w:pPr>
        <w:widowControl/>
        <w:adjustRightInd/>
        <w:spacing w:line="240" w:lineRule="auto"/>
        <w:textAlignment w:val="auto"/>
        <w:rPr>
          <w:rFonts w:ascii="Arial" w:hAnsi="Arial" w:cs="Arial"/>
          <w:sz w:val="20"/>
          <w:szCs w:val="20"/>
        </w:rPr>
      </w:pPr>
    </w:p>
    <w:tbl>
      <w:tblPr>
        <w:tblW w:w="8640" w:type="dxa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6"/>
        <w:gridCol w:w="2854"/>
      </w:tblGrid>
      <w:tr w:rsidR="0046076C" w:rsidRPr="00FD54AB" w:rsidTr="00BB0870">
        <w:trPr>
          <w:trHeight w:hRule="exact" w:val="794"/>
        </w:trPr>
        <w:tc>
          <w:tcPr>
            <w:tcW w:w="5666" w:type="dxa"/>
            <w:tcBorders>
              <w:top w:val="doub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46076C" w:rsidRPr="00FD54AB" w:rsidRDefault="0046076C" w:rsidP="0046076C">
            <w:pPr>
              <w:pStyle w:val="Adresa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rPr>
                <w:rFonts w:cs="Arial"/>
                <w:b/>
                <w:sz w:val="20"/>
              </w:rPr>
            </w:pPr>
            <w:r w:rsidRPr="00FD54AB">
              <w:rPr>
                <w:rFonts w:cs="Arial"/>
                <w:b/>
                <w:sz w:val="20"/>
              </w:rPr>
              <w:t>Předmět pojištění</w:t>
            </w:r>
          </w:p>
        </w:tc>
        <w:tc>
          <w:tcPr>
            <w:tcW w:w="2974" w:type="dxa"/>
            <w:tcBorders>
              <w:top w:val="doub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656117" w:rsidRPr="00FD54AB" w:rsidRDefault="0046076C" w:rsidP="00656117">
            <w:pPr>
              <w:pStyle w:val="Adresa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jc w:val="center"/>
              <w:rPr>
                <w:rFonts w:cs="Arial"/>
                <w:b/>
                <w:sz w:val="20"/>
              </w:rPr>
            </w:pPr>
            <w:r w:rsidRPr="00FD54AB">
              <w:rPr>
                <w:rFonts w:cs="Arial"/>
                <w:b/>
                <w:sz w:val="20"/>
              </w:rPr>
              <w:t>Pojistná částka /</w:t>
            </w:r>
            <w:r w:rsidR="00656117" w:rsidRPr="00FD54AB">
              <w:rPr>
                <w:rFonts w:cs="Arial"/>
                <w:b/>
                <w:sz w:val="20"/>
              </w:rPr>
              <w:t>RLP</w:t>
            </w:r>
          </w:p>
          <w:p w:rsidR="0046076C" w:rsidRPr="00FD54AB" w:rsidRDefault="0046076C" w:rsidP="00656117">
            <w:pPr>
              <w:pStyle w:val="Adresa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jc w:val="center"/>
              <w:rPr>
                <w:rFonts w:cs="Arial"/>
                <w:b/>
                <w:sz w:val="20"/>
              </w:rPr>
            </w:pPr>
            <w:r w:rsidRPr="00FD54AB">
              <w:rPr>
                <w:rFonts w:cs="Arial"/>
                <w:b/>
                <w:sz w:val="20"/>
              </w:rPr>
              <w:t>(v Kč)</w:t>
            </w:r>
          </w:p>
        </w:tc>
      </w:tr>
      <w:tr w:rsidR="00BB56DB" w:rsidRPr="00FD54AB" w:rsidTr="00BB0870">
        <w:trPr>
          <w:trHeight w:hRule="exact" w:val="1382"/>
        </w:trPr>
        <w:tc>
          <w:tcPr>
            <w:tcW w:w="566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6DB" w:rsidRPr="00EA7B5F" w:rsidRDefault="00BB56DB" w:rsidP="007124EB">
            <w:pPr>
              <w:widowControl/>
              <w:adjustRightInd/>
              <w:spacing w:line="240" w:lineRule="auto"/>
              <w:textAlignment w:val="auto"/>
              <w:rPr>
                <w:sz w:val="16"/>
                <w:szCs w:val="16"/>
              </w:rPr>
            </w:pPr>
            <w:r w:rsidRPr="00EA7B5F">
              <w:rPr>
                <w:b/>
                <w:sz w:val="16"/>
                <w:szCs w:val="16"/>
              </w:rPr>
              <w:t>Obecná odpovědnost za újmu</w:t>
            </w:r>
            <w:r w:rsidRPr="00EA7B5F">
              <w:rPr>
                <w:sz w:val="16"/>
                <w:szCs w:val="16"/>
              </w:rPr>
              <w:t xml:space="preserve"> („PROVOZNÍ ODPOVĚDNOST“)</w:t>
            </w:r>
          </w:p>
          <w:p w:rsidR="00BB56DB" w:rsidRPr="00EA7B5F" w:rsidRDefault="00BB56DB" w:rsidP="00916F7D">
            <w:pPr>
              <w:pStyle w:val="Adresa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EA7B5F">
              <w:rPr>
                <w:sz w:val="16"/>
                <w:szCs w:val="16"/>
              </w:rPr>
              <w:t xml:space="preserve">Pojištění se vztahuje i na odpovědnost za </w:t>
            </w:r>
            <w:r w:rsidR="007124EB" w:rsidRPr="00EA7B5F">
              <w:rPr>
                <w:sz w:val="16"/>
                <w:szCs w:val="16"/>
              </w:rPr>
              <w:t>újmu</w:t>
            </w:r>
            <w:r w:rsidRPr="00EA7B5F">
              <w:rPr>
                <w:sz w:val="16"/>
                <w:szCs w:val="16"/>
              </w:rPr>
              <w:t xml:space="preserve"> vyplývající z vlastnictví nebo držby </w:t>
            </w:r>
            <w:r w:rsidR="00916F7D">
              <w:rPr>
                <w:sz w:val="16"/>
                <w:szCs w:val="16"/>
              </w:rPr>
              <w:t xml:space="preserve">nemovitých </w:t>
            </w:r>
            <w:r w:rsidR="007F6AFE">
              <w:rPr>
                <w:sz w:val="16"/>
                <w:szCs w:val="16"/>
              </w:rPr>
              <w:t>věcí</w:t>
            </w:r>
            <w:r w:rsidRPr="00EA7B5F">
              <w:rPr>
                <w:sz w:val="16"/>
                <w:szCs w:val="16"/>
              </w:rPr>
              <w:t xml:space="preserve"> včetně škod na pronajatých nemovit</w:t>
            </w:r>
            <w:r w:rsidR="007F6AFE">
              <w:rPr>
                <w:sz w:val="16"/>
                <w:szCs w:val="16"/>
              </w:rPr>
              <w:t>ých věcech</w:t>
            </w:r>
            <w:r w:rsidR="007124EB" w:rsidRPr="00EA7B5F">
              <w:rPr>
                <w:sz w:val="16"/>
                <w:szCs w:val="16"/>
              </w:rPr>
              <w:t>.</w:t>
            </w:r>
          </w:p>
        </w:tc>
        <w:tc>
          <w:tcPr>
            <w:tcW w:w="297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6DB" w:rsidRPr="00FD54AB" w:rsidRDefault="00BB56DB" w:rsidP="007124EB">
            <w:pPr>
              <w:pStyle w:val="Adresa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jc w:val="right"/>
              <w:rPr>
                <w:rFonts w:cs="Arial"/>
                <w:b/>
                <w:sz w:val="20"/>
              </w:rPr>
            </w:pPr>
            <w:r w:rsidRPr="00FD54AB">
              <w:rPr>
                <w:rFonts w:cs="Arial"/>
                <w:b/>
                <w:sz w:val="20"/>
              </w:rPr>
              <w:t>200.000.000</w:t>
            </w:r>
          </w:p>
        </w:tc>
      </w:tr>
      <w:tr w:rsidR="00BB56DB" w:rsidRPr="00FD54AB" w:rsidTr="00BB0870">
        <w:trPr>
          <w:trHeight w:hRule="exact" w:val="734"/>
        </w:trPr>
        <w:tc>
          <w:tcPr>
            <w:tcW w:w="566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6DB" w:rsidRPr="00EA7B5F" w:rsidRDefault="00BB56DB" w:rsidP="005F3645">
            <w:pPr>
              <w:widowControl/>
              <w:adjustRightInd/>
              <w:spacing w:line="240" w:lineRule="auto"/>
              <w:textAlignment w:val="auto"/>
              <w:rPr>
                <w:sz w:val="16"/>
                <w:szCs w:val="16"/>
              </w:rPr>
            </w:pPr>
            <w:r w:rsidRPr="00EA7B5F">
              <w:rPr>
                <w:b/>
                <w:sz w:val="16"/>
                <w:szCs w:val="16"/>
              </w:rPr>
              <w:t xml:space="preserve">Odpovědnost za újmu vzniklou vadou výrobku </w:t>
            </w:r>
            <w:r w:rsidRPr="00EA7B5F">
              <w:rPr>
                <w:sz w:val="16"/>
                <w:szCs w:val="16"/>
              </w:rPr>
              <w:t>(„ODPOVĚDNOST ZA VÝROBEK“)</w:t>
            </w:r>
          </w:p>
        </w:tc>
        <w:tc>
          <w:tcPr>
            <w:tcW w:w="297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6DB" w:rsidRPr="00FD54AB" w:rsidRDefault="00BB56DB" w:rsidP="00A403D9">
            <w:pPr>
              <w:pStyle w:val="Adresa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jc w:val="right"/>
              <w:rPr>
                <w:rFonts w:cs="Arial"/>
                <w:b/>
                <w:sz w:val="20"/>
              </w:rPr>
            </w:pPr>
            <w:r w:rsidRPr="00FD54AB">
              <w:rPr>
                <w:rFonts w:cs="Arial"/>
                <w:b/>
                <w:sz w:val="20"/>
              </w:rPr>
              <w:t>200.000.000</w:t>
            </w:r>
          </w:p>
        </w:tc>
      </w:tr>
      <w:tr w:rsidR="00BB56DB" w:rsidRPr="00FD54AB" w:rsidTr="007F6AFE">
        <w:trPr>
          <w:trHeight w:val="2071"/>
        </w:trPr>
        <w:tc>
          <w:tcPr>
            <w:tcW w:w="6120" w:type="dxa"/>
            <w:vAlign w:val="center"/>
          </w:tcPr>
          <w:p w:rsidR="00BB56DB" w:rsidRPr="00EA7B5F" w:rsidRDefault="00BB56DB" w:rsidP="005742C6">
            <w:pPr>
              <w:pStyle w:val="Adresa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rPr>
                <w:rFonts w:ascii="Times New Roman" w:hAnsi="Times New Roman"/>
                <w:sz w:val="16"/>
                <w:szCs w:val="16"/>
              </w:rPr>
            </w:pPr>
            <w:r w:rsidRPr="00EA7B5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Odpovědnost za </w:t>
            </w:r>
            <w:r w:rsidR="00792A01" w:rsidRPr="00EA7B5F">
              <w:rPr>
                <w:rFonts w:ascii="Times New Roman" w:hAnsi="Times New Roman"/>
                <w:b/>
                <w:sz w:val="16"/>
                <w:szCs w:val="16"/>
              </w:rPr>
              <w:t>újmu</w:t>
            </w:r>
            <w:r w:rsidRPr="00EA7B5F">
              <w:rPr>
                <w:rFonts w:ascii="Times New Roman" w:hAnsi="Times New Roman"/>
                <w:b/>
                <w:sz w:val="16"/>
                <w:szCs w:val="16"/>
              </w:rPr>
              <w:t xml:space="preserve"> způsobenou náhlým a nahodilým znečištěním životního </w:t>
            </w:r>
            <w:proofErr w:type="gramStart"/>
            <w:r w:rsidRPr="00EA7B5F">
              <w:rPr>
                <w:rFonts w:ascii="Times New Roman" w:hAnsi="Times New Roman"/>
                <w:b/>
                <w:sz w:val="16"/>
                <w:szCs w:val="16"/>
              </w:rPr>
              <w:t xml:space="preserve">prostředí </w:t>
            </w:r>
            <w:r w:rsidR="003D25B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662615">
              <w:rPr>
                <w:rFonts w:ascii="Times New Roman" w:hAnsi="Times New Roman"/>
                <w:b/>
                <w:sz w:val="16"/>
                <w:szCs w:val="16"/>
              </w:rPr>
              <w:t>(i kterékoliv</w:t>
            </w:r>
            <w:proofErr w:type="gramEnd"/>
            <w:r w:rsidR="00662615">
              <w:rPr>
                <w:rFonts w:ascii="Times New Roman" w:hAnsi="Times New Roman"/>
                <w:b/>
                <w:sz w:val="16"/>
                <w:szCs w:val="16"/>
              </w:rPr>
              <w:t xml:space="preserve"> jeho složky) </w:t>
            </w:r>
            <w:r w:rsidR="00EE28E9">
              <w:rPr>
                <w:rFonts w:ascii="Times New Roman" w:hAnsi="Times New Roman"/>
                <w:b/>
                <w:sz w:val="16"/>
                <w:szCs w:val="16"/>
              </w:rPr>
              <w:t>v celém územním rozsahu pojištění</w:t>
            </w:r>
            <w:r w:rsidR="00D51B2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A7B5F">
              <w:rPr>
                <w:rFonts w:ascii="Times New Roman" w:hAnsi="Times New Roman"/>
                <w:b/>
                <w:sz w:val="16"/>
                <w:szCs w:val="16"/>
              </w:rPr>
              <w:t xml:space="preserve">včetně odpovědnosti za </w:t>
            </w:r>
            <w:r w:rsidR="00792A01" w:rsidRPr="00EA7B5F">
              <w:rPr>
                <w:rFonts w:ascii="Times New Roman" w:hAnsi="Times New Roman"/>
                <w:b/>
                <w:sz w:val="16"/>
                <w:szCs w:val="16"/>
              </w:rPr>
              <w:t>újmu</w:t>
            </w:r>
            <w:r w:rsidRPr="00EA7B5F">
              <w:rPr>
                <w:rFonts w:ascii="Times New Roman" w:hAnsi="Times New Roman"/>
                <w:b/>
                <w:sz w:val="16"/>
                <w:szCs w:val="16"/>
              </w:rPr>
              <w:t xml:space="preserve"> vzniklou v důsledku závažné havárie dle zákona č. 59/2006 Sb. </w:t>
            </w:r>
            <w:r w:rsidR="00EE28E9">
              <w:rPr>
                <w:rFonts w:ascii="Times New Roman" w:hAnsi="Times New Roman"/>
                <w:b/>
                <w:sz w:val="16"/>
                <w:szCs w:val="16"/>
              </w:rPr>
              <w:t xml:space="preserve">,  </w:t>
            </w:r>
            <w:r w:rsidRPr="00EA7B5F">
              <w:rPr>
                <w:rFonts w:ascii="Times New Roman" w:hAnsi="Times New Roman"/>
                <w:sz w:val="16"/>
                <w:szCs w:val="16"/>
              </w:rPr>
              <w:t>ve skladech Třem</w:t>
            </w:r>
            <w:r w:rsidR="005643C8">
              <w:rPr>
                <w:rFonts w:ascii="Times New Roman" w:hAnsi="Times New Roman"/>
                <w:sz w:val="16"/>
                <w:szCs w:val="16"/>
              </w:rPr>
              <w:t>o</w:t>
            </w:r>
            <w:r w:rsidRPr="00EA7B5F">
              <w:rPr>
                <w:rFonts w:ascii="Times New Roman" w:hAnsi="Times New Roman"/>
                <w:sz w:val="16"/>
                <w:szCs w:val="16"/>
              </w:rPr>
              <w:t>šná, Bělčice, Hájek, Smyslov, Včelná,</w:t>
            </w:r>
            <w:r w:rsidR="00741D8D">
              <w:rPr>
                <w:rFonts w:ascii="Times New Roman" w:hAnsi="Times New Roman"/>
                <w:sz w:val="16"/>
                <w:szCs w:val="16"/>
              </w:rPr>
              <w:t xml:space="preserve"> Hněvice</w:t>
            </w:r>
            <w:r w:rsidRPr="00EA7B5F">
              <w:rPr>
                <w:rFonts w:ascii="Times New Roman" w:hAnsi="Times New Roman"/>
                <w:sz w:val="16"/>
                <w:szCs w:val="16"/>
              </w:rPr>
              <w:t>, Mstětice, Cerekvice</w:t>
            </w:r>
            <w:r w:rsidR="005643C8">
              <w:rPr>
                <w:rFonts w:ascii="Times New Roman" w:hAnsi="Times New Roman"/>
                <w:sz w:val="16"/>
                <w:szCs w:val="16"/>
              </w:rPr>
              <w:t xml:space="preserve"> n. Bystřicí</w:t>
            </w:r>
            <w:r w:rsidRPr="00EA7B5F">
              <w:rPr>
                <w:rFonts w:ascii="Times New Roman" w:hAnsi="Times New Roman"/>
                <w:sz w:val="16"/>
                <w:szCs w:val="16"/>
              </w:rPr>
              <w:t>, Nové Město, Šlapanov, Potěhy, Loukov</w:t>
            </w:r>
            <w:r w:rsidR="00741D8D">
              <w:rPr>
                <w:rFonts w:ascii="Times New Roman" w:hAnsi="Times New Roman"/>
                <w:sz w:val="16"/>
                <w:szCs w:val="16"/>
              </w:rPr>
              <w:t>,</w:t>
            </w:r>
            <w:r w:rsidRPr="00EA7B5F">
              <w:rPr>
                <w:rFonts w:ascii="Times New Roman" w:hAnsi="Times New Roman"/>
                <w:sz w:val="16"/>
                <w:szCs w:val="16"/>
              </w:rPr>
              <w:t xml:space="preserve"> Sedlnice, Střelice, Klobouky</w:t>
            </w:r>
            <w:r w:rsidR="005643C8">
              <w:rPr>
                <w:rFonts w:ascii="Times New Roman" w:hAnsi="Times New Roman"/>
                <w:sz w:val="16"/>
                <w:szCs w:val="16"/>
              </w:rPr>
              <w:t xml:space="preserve"> u Brna</w:t>
            </w:r>
            <w:r w:rsidRPr="00EA7B5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07AF2" w:rsidRDefault="00007AF2" w:rsidP="00007AF2">
            <w:pPr>
              <w:pStyle w:val="Adresa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rPr>
                <w:rFonts w:ascii="Times New Roman" w:hAnsi="Times New Roman"/>
                <w:sz w:val="16"/>
                <w:szCs w:val="16"/>
              </w:rPr>
            </w:pPr>
            <w:r w:rsidRPr="00EA7B5F">
              <w:rPr>
                <w:rFonts w:ascii="Times New Roman" w:hAnsi="Times New Roman"/>
                <w:sz w:val="16"/>
                <w:szCs w:val="16"/>
              </w:rPr>
              <w:t>(„ODPOVĚDNOST ZA ZNEČIŠTĚNÍ“)</w:t>
            </w:r>
          </w:p>
          <w:p w:rsidR="001C6842" w:rsidRPr="00EA7B5F" w:rsidRDefault="001C6842" w:rsidP="00007AF2">
            <w:pPr>
              <w:pStyle w:val="Adresa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B129E1" w:rsidRPr="00EA7B5F" w:rsidRDefault="00B129E1" w:rsidP="00B129E1">
            <w:pPr>
              <w:pStyle w:val="Adresa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rPr>
                <w:rFonts w:ascii="Times New Roman" w:hAnsi="Times New Roman"/>
                <w:sz w:val="16"/>
                <w:szCs w:val="16"/>
              </w:rPr>
            </w:pPr>
            <w:r w:rsidRPr="00EA7B5F">
              <w:rPr>
                <w:rFonts w:ascii="Times New Roman" w:hAnsi="Times New Roman"/>
                <w:sz w:val="16"/>
                <w:szCs w:val="16"/>
              </w:rPr>
              <w:t xml:space="preserve">Včetně </w:t>
            </w:r>
            <w:r w:rsidRPr="00EA7B5F">
              <w:rPr>
                <w:rFonts w:ascii="Times New Roman" w:hAnsi="Times New Roman"/>
                <w:b/>
                <w:sz w:val="16"/>
                <w:szCs w:val="16"/>
              </w:rPr>
              <w:t xml:space="preserve">pojištění nákladů na nápravná opatření </w:t>
            </w:r>
            <w:r w:rsidR="006877A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A7B5F">
              <w:rPr>
                <w:rFonts w:ascii="Times New Roman" w:hAnsi="Times New Roman"/>
                <w:b/>
                <w:sz w:val="16"/>
                <w:szCs w:val="16"/>
              </w:rPr>
              <w:t xml:space="preserve">(dekontaminaci </w:t>
            </w:r>
            <w:proofErr w:type="gramStart"/>
            <w:r w:rsidRPr="00EA7B5F">
              <w:rPr>
                <w:rFonts w:ascii="Times New Roman" w:hAnsi="Times New Roman"/>
                <w:b/>
                <w:sz w:val="16"/>
                <w:szCs w:val="16"/>
              </w:rPr>
              <w:t>apod.)</w:t>
            </w:r>
            <w:r w:rsidR="006877A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A7B5F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EA7B5F">
              <w:rPr>
                <w:rFonts w:ascii="Times New Roman" w:hAnsi="Times New Roman"/>
                <w:sz w:val="16"/>
                <w:szCs w:val="16"/>
              </w:rPr>
              <w:t xml:space="preserve"> které</w:t>
            </w:r>
            <w:proofErr w:type="gramEnd"/>
            <w:r w:rsidRPr="00EA7B5F">
              <w:rPr>
                <w:rFonts w:ascii="Times New Roman" w:hAnsi="Times New Roman"/>
                <w:sz w:val="16"/>
                <w:szCs w:val="16"/>
              </w:rPr>
              <w:t xml:space="preserve"> je povinen pojištěný uhradit nad/mimo rámec odpovědnosti za újmu.</w:t>
            </w:r>
          </w:p>
          <w:p w:rsidR="00B129E1" w:rsidRPr="00EA7B5F" w:rsidRDefault="00B129E1" w:rsidP="006877A9">
            <w:pPr>
              <w:pStyle w:val="Adresa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EA7B5F">
              <w:rPr>
                <w:rFonts w:ascii="Times New Roman" w:hAnsi="Times New Roman"/>
                <w:sz w:val="16"/>
                <w:szCs w:val="16"/>
              </w:rPr>
              <w:t xml:space="preserve">Včetně </w:t>
            </w:r>
            <w:r w:rsidRPr="00EA7B5F">
              <w:rPr>
                <w:rFonts w:ascii="Times New Roman" w:hAnsi="Times New Roman"/>
                <w:b/>
                <w:sz w:val="16"/>
                <w:szCs w:val="16"/>
              </w:rPr>
              <w:t>pojištění nákladů na preventivní nebo nápravná opatření</w:t>
            </w:r>
            <w:r w:rsidRPr="00EA7B5F">
              <w:rPr>
                <w:rFonts w:ascii="Times New Roman" w:hAnsi="Times New Roman"/>
                <w:sz w:val="16"/>
                <w:szCs w:val="16"/>
              </w:rPr>
              <w:t xml:space="preserve">, které je povinen pojištěný uhradit </w:t>
            </w:r>
            <w:r w:rsidR="006877A9">
              <w:rPr>
                <w:rFonts w:ascii="Times New Roman" w:hAnsi="Times New Roman"/>
                <w:sz w:val="16"/>
                <w:szCs w:val="16"/>
              </w:rPr>
              <w:t>podle</w:t>
            </w:r>
            <w:r w:rsidR="006626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7B5F">
              <w:rPr>
                <w:rFonts w:ascii="Times New Roman" w:hAnsi="Times New Roman"/>
                <w:sz w:val="16"/>
                <w:szCs w:val="16"/>
              </w:rPr>
              <w:t>zákona, v případě zhoršení funkce přírodních zdrojů při znečištění (ekologická újma)</w:t>
            </w:r>
            <w:r w:rsidR="00D534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D534C2">
              <w:rPr>
                <w:rFonts w:ascii="Times New Roman" w:hAnsi="Times New Roman"/>
                <w:sz w:val="16"/>
                <w:szCs w:val="16"/>
              </w:rPr>
              <w:br/>
            </w:r>
            <w:r w:rsidR="00D534C2" w:rsidRPr="00EA7B5F">
              <w:rPr>
                <w:rFonts w:ascii="Times New Roman" w:hAnsi="Times New Roman"/>
                <w:sz w:val="16"/>
                <w:szCs w:val="16"/>
              </w:rPr>
              <w:t>*)</w:t>
            </w:r>
            <w:r w:rsidR="006877A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D4647">
              <w:rPr>
                <w:rFonts w:ascii="Times New Roman" w:hAnsi="Times New Roman"/>
                <w:sz w:val="16"/>
                <w:szCs w:val="16"/>
              </w:rPr>
              <w:t xml:space="preserve">doplnění </w:t>
            </w:r>
            <w:r w:rsidR="006877A9">
              <w:rPr>
                <w:rFonts w:ascii="Times New Roman" w:hAnsi="Times New Roman"/>
                <w:sz w:val="16"/>
                <w:szCs w:val="16"/>
              </w:rPr>
              <w:t>viz níže pod tabulkou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B56DB" w:rsidRPr="00FD54AB" w:rsidRDefault="00BB56DB" w:rsidP="00A403D9">
            <w:pPr>
              <w:pStyle w:val="Adresa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jc w:val="right"/>
              <w:rPr>
                <w:rFonts w:cs="Arial"/>
                <w:b/>
                <w:sz w:val="20"/>
              </w:rPr>
            </w:pPr>
            <w:r w:rsidRPr="00FD54AB">
              <w:rPr>
                <w:rFonts w:cs="Arial"/>
                <w:b/>
                <w:sz w:val="20"/>
              </w:rPr>
              <w:t>200.000.000</w:t>
            </w:r>
          </w:p>
        </w:tc>
      </w:tr>
      <w:tr w:rsidR="00BB56DB" w:rsidRPr="00FD54AB" w:rsidTr="00A403D9">
        <w:trPr>
          <w:trHeight w:hRule="exact" w:val="397"/>
        </w:trPr>
        <w:tc>
          <w:tcPr>
            <w:tcW w:w="8640" w:type="dxa"/>
            <w:gridSpan w:val="2"/>
            <w:vAlign w:val="center"/>
          </w:tcPr>
          <w:p w:rsidR="00BB56DB" w:rsidRPr="00EA7B5F" w:rsidRDefault="00BB56DB" w:rsidP="00DD696A">
            <w:pPr>
              <w:pStyle w:val="Adresa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A7B5F">
              <w:rPr>
                <w:rFonts w:ascii="Times New Roman" w:hAnsi="Times New Roman"/>
                <w:b/>
                <w:sz w:val="16"/>
                <w:szCs w:val="16"/>
              </w:rPr>
              <w:t>Sublimity</w:t>
            </w:r>
            <w:proofErr w:type="spellEnd"/>
            <w:r w:rsidRPr="00EA7B5F">
              <w:rPr>
                <w:rFonts w:ascii="Times New Roman" w:hAnsi="Times New Roman"/>
                <w:b/>
                <w:sz w:val="16"/>
                <w:szCs w:val="16"/>
              </w:rPr>
              <w:t xml:space="preserve"> v rámci obecné odpovědnosti za újmu</w:t>
            </w:r>
            <w:r w:rsidR="00B129E1" w:rsidRPr="00EA7B5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129E1" w:rsidRPr="00EA7B5F">
              <w:rPr>
                <w:rFonts w:ascii="Times New Roman" w:hAnsi="Times New Roman"/>
                <w:sz w:val="16"/>
                <w:szCs w:val="16"/>
              </w:rPr>
              <w:t>(„DODATKOVÁ POJIŠTĚNÍ“)</w:t>
            </w:r>
            <w:r w:rsidRPr="00EA7B5F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</w:tr>
      <w:tr w:rsidR="00BB56DB" w:rsidRPr="00FD54AB" w:rsidTr="007F6AFE">
        <w:trPr>
          <w:trHeight w:hRule="exact" w:val="1065"/>
        </w:trPr>
        <w:tc>
          <w:tcPr>
            <w:tcW w:w="6120" w:type="dxa"/>
            <w:vAlign w:val="center"/>
          </w:tcPr>
          <w:p w:rsidR="00BB56DB" w:rsidRPr="00EA7B5F" w:rsidRDefault="00BB56DB" w:rsidP="0046076C">
            <w:pPr>
              <w:pStyle w:val="Adresa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rPr>
                <w:rFonts w:ascii="Times New Roman" w:hAnsi="Times New Roman"/>
                <w:sz w:val="16"/>
                <w:szCs w:val="16"/>
              </w:rPr>
            </w:pPr>
            <w:r w:rsidRPr="00EA7B5F">
              <w:rPr>
                <w:rFonts w:ascii="Times New Roman" w:hAnsi="Times New Roman"/>
                <w:sz w:val="16"/>
                <w:szCs w:val="16"/>
              </w:rPr>
              <w:t>Regresní náhrada nákladů na léčení vynaložených zdravotní pojišťovnou na zdravotní péči poskytovanou zaměstnanci pojištěného, který utrpěl tělesnou újmu v důsledku pracovního úrazu nebo nemoci z povolání.</w:t>
            </w:r>
          </w:p>
          <w:p w:rsidR="00BB56DB" w:rsidRPr="00EA7B5F" w:rsidRDefault="00BB56DB" w:rsidP="0046076C">
            <w:pPr>
              <w:pStyle w:val="Adresa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rPr>
                <w:rFonts w:ascii="Times New Roman" w:hAnsi="Times New Roman"/>
                <w:sz w:val="16"/>
                <w:szCs w:val="16"/>
              </w:rPr>
            </w:pPr>
            <w:r w:rsidRPr="00EA7B5F">
              <w:rPr>
                <w:rFonts w:ascii="Times New Roman" w:hAnsi="Times New Roman"/>
                <w:sz w:val="16"/>
                <w:szCs w:val="16"/>
              </w:rPr>
              <w:t>Regresní náhrada dávek nemocenského pojištění v</w:t>
            </w:r>
            <w:r w:rsidR="00EA7B5F">
              <w:rPr>
                <w:rFonts w:ascii="Times New Roman" w:hAnsi="Times New Roman"/>
                <w:sz w:val="16"/>
                <w:szCs w:val="16"/>
              </w:rPr>
              <w:t>y</w:t>
            </w:r>
            <w:r w:rsidRPr="00EA7B5F">
              <w:rPr>
                <w:rFonts w:ascii="Times New Roman" w:hAnsi="Times New Roman"/>
                <w:sz w:val="16"/>
                <w:szCs w:val="16"/>
              </w:rPr>
              <w:t>placených orgánem nemocenského pojištění v důsledku zaviněného protiprávního jednání pojištěného.</w:t>
            </w:r>
          </w:p>
        </w:tc>
        <w:tc>
          <w:tcPr>
            <w:tcW w:w="2520" w:type="dxa"/>
            <w:vAlign w:val="center"/>
          </w:tcPr>
          <w:p w:rsidR="00BB56DB" w:rsidRPr="00FD54AB" w:rsidRDefault="00BB56DB" w:rsidP="0046076C">
            <w:pPr>
              <w:pStyle w:val="Adresa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jc w:val="right"/>
              <w:rPr>
                <w:rFonts w:cs="Arial"/>
                <w:b/>
                <w:sz w:val="20"/>
              </w:rPr>
            </w:pPr>
            <w:r w:rsidRPr="00FD54AB">
              <w:rPr>
                <w:rFonts w:cs="Arial"/>
                <w:b/>
                <w:sz w:val="20"/>
              </w:rPr>
              <w:t>10.000.000</w:t>
            </w:r>
          </w:p>
        </w:tc>
      </w:tr>
      <w:tr w:rsidR="00BB56DB" w:rsidRPr="00FD54AB" w:rsidTr="007F6AFE">
        <w:trPr>
          <w:trHeight w:hRule="exact" w:val="397"/>
        </w:trPr>
        <w:tc>
          <w:tcPr>
            <w:tcW w:w="6120" w:type="dxa"/>
            <w:vAlign w:val="center"/>
          </w:tcPr>
          <w:p w:rsidR="00BB56DB" w:rsidRPr="00EA7B5F" w:rsidRDefault="00BB56DB" w:rsidP="00BB56DB">
            <w:pPr>
              <w:pStyle w:val="Adresa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rPr>
                <w:rFonts w:ascii="Times New Roman" w:hAnsi="Times New Roman"/>
                <w:sz w:val="16"/>
                <w:szCs w:val="16"/>
              </w:rPr>
            </w:pPr>
            <w:r w:rsidRPr="00EA7B5F">
              <w:rPr>
                <w:rFonts w:ascii="Times New Roman" w:hAnsi="Times New Roman"/>
                <w:sz w:val="16"/>
                <w:szCs w:val="16"/>
              </w:rPr>
              <w:t>Odpovědnost za újmu způsobenou zaměstnanci na věci při plnění pracovních úkolů</w:t>
            </w:r>
          </w:p>
        </w:tc>
        <w:tc>
          <w:tcPr>
            <w:tcW w:w="2520" w:type="dxa"/>
            <w:vAlign w:val="center"/>
          </w:tcPr>
          <w:p w:rsidR="00BB56DB" w:rsidRPr="00FD54AB" w:rsidRDefault="00BB56DB" w:rsidP="0046076C">
            <w:pPr>
              <w:pStyle w:val="Adresa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jc w:val="right"/>
              <w:rPr>
                <w:rFonts w:cs="Arial"/>
                <w:b/>
                <w:sz w:val="20"/>
              </w:rPr>
            </w:pPr>
            <w:r w:rsidRPr="00FD54AB">
              <w:rPr>
                <w:rFonts w:cs="Arial"/>
                <w:b/>
                <w:sz w:val="20"/>
              </w:rPr>
              <w:t>5.000.000</w:t>
            </w:r>
          </w:p>
        </w:tc>
      </w:tr>
      <w:tr w:rsidR="00BB56DB" w:rsidRPr="00FD54AB" w:rsidTr="007F6AFE">
        <w:trPr>
          <w:trHeight w:hRule="exact" w:val="397"/>
        </w:trPr>
        <w:tc>
          <w:tcPr>
            <w:tcW w:w="6120" w:type="dxa"/>
            <w:vAlign w:val="center"/>
          </w:tcPr>
          <w:p w:rsidR="00BB56DB" w:rsidRPr="00EA7B5F" w:rsidRDefault="00BB56DB" w:rsidP="0046076C">
            <w:pPr>
              <w:pStyle w:val="Adresa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rPr>
                <w:rFonts w:ascii="Times New Roman" w:hAnsi="Times New Roman"/>
                <w:sz w:val="16"/>
                <w:szCs w:val="16"/>
              </w:rPr>
            </w:pPr>
            <w:r w:rsidRPr="00EA7B5F">
              <w:rPr>
                <w:rFonts w:ascii="Times New Roman" w:hAnsi="Times New Roman"/>
                <w:sz w:val="16"/>
                <w:szCs w:val="16"/>
              </w:rPr>
              <w:t>Odpovědnost za újmu, která vznikla jinak než jako újma na zdraví, životě a věci („čisté finanční škody“)</w:t>
            </w:r>
          </w:p>
        </w:tc>
        <w:tc>
          <w:tcPr>
            <w:tcW w:w="2520" w:type="dxa"/>
            <w:vAlign w:val="center"/>
          </w:tcPr>
          <w:p w:rsidR="00BB56DB" w:rsidRPr="00FD54AB" w:rsidRDefault="00BB56DB" w:rsidP="0046076C">
            <w:pPr>
              <w:pStyle w:val="Adresa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jc w:val="right"/>
              <w:rPr>
                <w:rFonts w:cs="Arial"/>
                <w:b/>
                <w:sz w:val="20"/>
              </w:rPr>
            </w:pPr>
            <w:r w:rsidRPr="00FD54AB">
              <w:rPr>
                <w:rFonts w:cs="Arial"/>
                <w:b/>
                <w:sz w:val="20"/>
              </w:rPr>
              <w:t>5.000.000</w:t>
            </w:r>
          </w:p>
        </w:tc>
      </w:tr>
      <w:tr w:rsidR="00BB56DB" w:rsidRPr="00FD54AB" w:rsidTr="007F6AFE">
        <w:trPr>
          <w:trHeight w:hRule="exact" w:val="827"/>
        </w:trPr>
        <w:tc>
          <w:tcPr>
            <w:tcW w:w="6120" w:type="dxa"/>
            <w:vAlign w:val="center"/>
          </w:tcPr>
          <w:p w:rsidR="00BB56DB" w:rsidRPr="00EA7B5F" w:rsidRDefault="00BB56DB" w:rsidP="0046076C">
            <w:pPr>
              <w:pStyle w:val="Adresa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rPr>
                <w:rFonts w:ascii="Times New Roman" w:hAnsi="Times New Roman"/>
                <w:sz w:val="16"/>
                <w:szCs w:val="16"/>
              </w:rPr>
            </w:pPr>
            <w:r w:rsidRPr="00EA7B5F">
              <w:rPr>
                <w:rFonts w:ascii="Times New Roman" w:hAnsi="Times New Roman"/>
                <w:sz w:val="16"/>
                <w:szCs w:val="16"/>
              </w:rPr>
              <w:t xml:space="preserve">Odpovědnost za </w:t>
            </w:r>
            <w:r w:rsidR="00007AF2" w:rsidRPr="00EA7B5F">
              <w:rPr>
                <w:rFonts w:ascii="Times New Roman" w:hAnsi="Times New Roman"/>
                <w:sz w:val="16"/>
                <w:szCs w:val="16"/>
              </w:rPr>
              <w:t>újmu</w:t>
            </w:r>
            <w:r w:rsidRPr="00EA7B5F">
              <w:rPr>
                <w:rFonts w:ascii="Times New Roman" w:hAnsi="Times New Roman"/>
                <w:sz w:val="16"/>
                <w:szCs w:val="16"/>
              </w:rPr>
              <w:t xml:space="preserve"> na věcech převzatých a užívaných</w:t>
            </w:r>
          </w:p>
          <w:p w:rsidR="00BB56DB" w:rsidRPr="00EA7B5F" w:rsidRDefault="00BB56DB" w:rsidP="00DA2E2E">
            <w:pPr>
              <w:widowControl/>
              <w:adjustRightInd/>
              <w:spacing w:line="240" w:lineRule="auto"/>
              <w:textAlignment w:val="auto"/>
              <w:rPr>
                <w:sz w:val="16"/>
                <w:szCs w:val="16"/>
              </w:rPr>
            </w:pPr>
            <w:r w:rsidRPr="00EA7B5F">
              <w:rPr>
                <w:sz w:val="16"/>
                <w:szCs w:val="16"/>
              </w:rPr>
              <w:t>Pojištění se vztahuje také na škody způsobené poškozením, zničením, ztrátou a odcizením věci (nevztahuje se na škodu na motorových vozidlech)</w:t>
            </w:r>
          </w:p>
          <w:p w:rsidR="00BB56DB" w:rsidRPr="00EA7B5F" w:rsidRDefault="00BB56DB" w:rsidP="0046076C">
            <w:pPr>
              <w:pStyle w:val="Adresa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BB56DB" w:rsidRPr="00FD54AB" w:rsidRDefault="00BB56DB" w:rsidP="0046076C">
            <w:pPr>
              <w:pStyle w:val="Adresa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jc w:val="right"/>
              <w:rPr>
                <w:rFonts w:cs="Arial"/>
                <w:b/>
                <w:sz w:val="20"/>
              </w:rPr>
            </w:pPr>
            <w:r w:rsidRPr="00FD54AB">
              <w:rPr>
                <w:rFonts w:cs="Arial"/>
                <w:b/>
                <w:sz w:val="20"/>
              </w:rPr>
              <w:t>10.000.000</w:t>
            </w:r>
          </w:p>
        </w:tc>
      </w:tr>
    </w:tbl>
    <w:p w:rsidR="0046076C" w:rsidRPr="00FD54AB" w:rsidRDefault="0046076C" w:rsidP="0046076C">
      <w:pPr>
        <w:tabs>
          <w:tab w:val="left" w:pos="540"/>
        </w:tabs>
        <w:spacing w:line="0" w:lineRule="atLeast"/>
        <w:ind w:left="539"/>
        <w:rPr>
          <w:rFonts w:ascii="Arial" w:hAnsi="Arial" w:cs="Arial"/>
          <w:sz w:val="20"/>
          <w:szCs w:val="20"/>
        </w:rPr>
      </w:pPr>
    </w:p>
    <w:p w:rsidR="00D534C2" w:rsidRDefault="00D534C2" w:rsidP="00B129E1">
      <w:pPr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Doplnění </w:t>
      </w:r>
      <w:r w:rsidR="002D4647">
        <w:rPr>
          <w:rFonts w:ascii="Arial" w:hAnsi="Arial" w:cs="Arial"/>
          <w:sz w:val="20"/>
          <w:szCs w:val="20"/>
        </w:rPr>
        <w:t>k </w:t>
      </w:r>
      <w:r>
        <w:rPr>
          <w:rFonts w:ascii="Arial" w:hAnsi="Arial" w:cs="Arial"/>
          <w:sz w:val="20"/>
          <w:szCs w:val="20"/>
        </w:rPr>
        <w:t>tabulce</w:t>
      </w:r>
      <w:r w:rsidR="002D4647">
        <w:rPr>
          <w:rFonts w:ascii="Arial" w:hAnsi="Arial" w:cs="Arial"/>
          <w:sz w:val="20"/>
          <w:szCs w:val="20"/>
        </w:rPr>
        <w:t xml:space="preserve"> Předmět pojištění</w:t>
      </w:r>
      <w:r w:rsidR="00F129F5">
        <w:rPr>
          <w:rFonts w:ascii="Arial" w:hAnsi="Arial" w:cs="Arial"/>
          <w:sz w:val="20"/>
          <w:szCs w:val="20"/>
        </w:rPr>
        <w:t xml:space="preserve"> (výše)</w:t>
      </w:r>
      <w:r w:rsidR="002D4647">
        <w:rPr>
          <w:rFonts w:ascii="Arial" w:hAnsi="Arial" w:cs="Arial"/>
          <w:sz w:val="20"/>
          <w:szCs w:val="20"/>
        </w:rPr>
        <w:t xml:space="preserve"> i tabulce </w:t>
      </w:r>
      <w:r w:rsidR="00F129F5">
        <w:rPr>
          <w:rFonts w:ascii="Arial" w:hAnsi="Arial" w:cs="Arial"/>
          <w:sz w:val="20"/>
          <w:szCs w:val="20"/>
        </w:rPr>
        <w:t>Pojistné nebezpečí a spoluúčasti (níže)</w:t>
      </w:r>
      <w:r>
        <w:rPr>
          <w:rFonts w:ascii="Arial" w:hAnsi="Arial" w:cs="Arial"/>
          <w:sz w:val="20"/>
          <w:szCs w:val="20"/>
        </w:rPr>
        <w:t>:</w:t>
      </w:r>
    </w:p>
    <w:p w:rsidR="00B129E1" w:rsidRPr="00FD54AB" w:rsidRDefault="00B129E1" w:rsidP="00E51DFC">
      <w:pPr>
        <w:spacing w:before="120" w:line="240" w:lineRule="auto"/>
        <w:ind w:left="567" w:hanging="207"/>
        <w:rPr>
          <w:rFonts w:ascii="Arial" w:hAnsi="Arial" w:cs="Arial"/>
          <w:sz w:val="20"/>
          <w:szCs w:val="20"/>
        </w:rPr>
      </w:pPr>
      <w:r w:rsidRPr="00FD54AB">
        <w:rPr>
          <w:rFonts w:ascii="Arial" w:hAnsi="Arial" w:cs="Arial"/>
          <w:sz w:val="20"/>
          <w:szCs w:val="20"/>
        </w:rPr>
        <w:t>*) Pojistitel se zavazuje uhradit náklady, které je pojištěný povinen vynaložit v případě uložení povinnosti pojištěnému v případě porušení obecně závazných environmentálních právních předpisů, a to i nad rámec odpovědnosti za vzniklou újmu:</w:t>
      </w:r>
    </w:p>
    <w:p w:rsidR="00B129E1" w:rsidRPr="00FD54AB" w:rsidRDefault="00B129E1" w:rsidP="00E51DFC">
      <w:pPr>
        <w:pStyle w:val="Odstavecseseznamem"/>
        <w:numPr>
          <w:ilvl w:val="0"/>
          <w:numId w:val="10"/>
        </w:numPr>
        <w:spacing w:before="120"/>
        <w:ind w:left="993"/>
        <w:jc w:val="both"/>
        <w:rPr>
          <w:rFonts w:ascii="Arial" w:hAnsi="Arial" w:cs="Arial"/>
          <w:b/>
          <w:bCs/>
          <w:sz w:val="20"/>
          <w:szCs w:val="20"/>
        </w:rPr>
      </w:pPr>
      <w:r w:rsidRPr="00FD54AB">
        <w:rPr>
          <w:rFonts w:ascii="Arial" w:hAnsi="Arial" w:cs="Arial"/>
          <w:b/>
          <w:bCs/>
          <w:sz w:val="20"/>
          <w:szCs w:val="20"/>
        </w:rPr>
        <w:t xml:space="preserve">Pojištění nákladů na nápravná opatření (dekontaminaci apod.), které je povinen pojištěný uhradit nad/mimo rámec odpovědnosti za újmu </w:t>
      </w:r>
    </w:p>
    <w:p w:rsidR="00B129E1" w:rsidRPr="00FD54AB" w:rsidRDefault="00B129E1" w:rsidP="00E51DFC">
      <w:pPr>
        <w:spacing w:line="240" w:lineRule="auto"/>
        <w:ind w:left="993"/>
        <w:rPr>
          <w:rFonts w:ascii="Arial" w:hAnsi="Arial" w:cs="Arial"/>
          <w:sz w:val="20"/>
          <w:szCs w:val="20"/>
        </w:rPr>
      </w:pPr>
      <w:r w:rsidRPr="00FD54AB">
        <w:rPr>
          <w:rFonts w:ascii="Arial" w:hAnsi="Arial" w:cs="Arial"/>
          <w:sz w:val="20"/>
          <w:szCs w:val="20"/>
        </w:rPr>
        <w:t xml:space="preserve">V případě uložení povinnosti pojištěnému vyplývající z obecně závazných environmentálních právních předpisů se pojistitel zavazuje uhradit náklady na odstranění znečištění, které jsou požadovány </w:t>
      </w:r>
      <w:proofErr w:type="gramStart"/>
      <w:r w:rsidRPr="00FD54AB">
        <w:rPr>
          <w:rFonts w:ascii="Arial" w:hAnsi="Arial" w:cs="Arial"/>
          <w:sz w:val="20"/>
          <w:szCs w:val="20"/>
        </w:rPr>
        <w:t>po</w:t>
      </w:r>
      <w:proofErr w:type="gramEnd"/>
      <w:r w:rsidRPr="00FD54AB">
        <w:rPr>
          <w:rFonts w:ascii="Arial" w:hAnsi="Arial" w:cs="Arial"/>
          <w:sz w:val="20"/>
          <w:szCs w:val="20"/>
        </w:rPr>
        <w:t xml:space="preserve"> pojištěném příslušným správním </w:t>
      </w:r>
      <w:proofErr w:type="gramStart"/>
      <w:r w:rsidRPr="00FD54AB">
        <w:rPr>
          <w:rFonts w:ascii="Arial" w:hAnsi="Arial" w:cs="Arial"/>
          <w:sz w:val="20"/>
          <w:szCs w:val="20"/>
        </w:rPr>
        <w:t>orgánem.</w:t>
      </w:r>
      <w:proofErr w:type="gramEnd"/>
      <w:r w:rsidRPr="00FD54AB">
        <w:rPr>
          <w:rFonts w:ascii="Arial" w:hAnsi="Arial" w:cs="Arial"/>
          <w:sz w:val="20"/>
          <w:szCs w:val="20"/>
        </w:rPr>
        <w:t xml:space="preserve"> Současně jsou pojistitelem hrazeny náklady, které jsou vynaloženy na přijatá opatření, v případě bezprostřední hrozby škod na životním prostředí (například zachraňovací náklady na zabránění nebo zmírnění hrozícího znečištění).</w:t>
      </w:r>
    </w:p>
    <w:p w:rsidR="00B129E1" w:rsidRPr="00FD54AB" w:rsidRDefault="00B129E1" w:rsidP="00E51DFC">
      <w:pPr>
        <w:pStyle w:val="Odstavecseseznamem"/>
        <w:numPr>
          <w:ilvl w:val="0"/>
          <w:numId w:val="10"/>
        </w:numPr>
        <w:spacing w:before="120"/>
        <w:ind w:left="993"/>
        <w:jc w:val="both"/>
        <w:rPr>
          <w:rFonts w:ascii="Arial" w:hAnsi="Arial" w:cs="Arial"/>
          <w:b/>
          <w:bCs/>
          <w:sz w:val="20"/>
          <w:szCs w:val="20"/>
        </w:rPr>
      </w:pPr>
      <w:r w:rsidRPr="00FD54AB">
        <w:rPr>
          <w:rFonts w:ascii="Arial" w:hAnsi="Arial" w:cs="Arial"/>
          <w:b/>
          <w:bCs/>
          <w:sz w:val="20"/>
          <w:szCs w:val="20"/>
        </w:rPr>
        <w:t>Náklady na preventivní nebo nápravná opatření, které je povinen pojištěný uhradit ze zákona</w:t>
      </w:r>
      <w:r w:rsidR="00EA7B5F">
        <w:rPr>
          <w:rFonts w:ascii="Arial" w:hAnsi="Arial" w:cs="Arial"/>
          <w:b/>
          <w:bCs/>
          <w:sz w:val="20"/>
          <w:szCs w:val="20"/>
        </w:rPr>
        <w:t xml:space="preserve">/obecně </w:t>
      </w:r>
      <w:r w:rsidR="00DA3866">
        <w:rPr>
          <w:rFonts w:ascii="Arial" w:hAnsi="Arial" w:cs="Arial"/>
          <w:b/>
          <w:bCs/>
          <w:sz w:val="20"/>
          <w:szCs w:val="20"/>
        </w:rPr>
        <w:t xml:space="preserve">závazných platných </w:t>
      </w:r>
      <w:r w:rsidR="00EA7B5F">
        <w:rPr>
          <w:rFonts w:ascii="Arial" w:hAnsi="Arial" w:cs="Arial"/>
          <w:b/>
          <w:bCs/>
          <w:sz w:val="20"/>
          <w:szCs w:val="20"/>
        </w:rPr>
        <w:t>právních předpisů</w:t>
      </w:r>
      <w:r w:rsidRPr="00FD54AB">
        <w:rPr>
          <w:rFonts w:ascii="Arial" w:hAnsi="Arial" w:cs="Arial"/>
          <w:b/>
          <w:bCs/>
          <w:sz w:val="20"/>
          <w:szCs w:val="20"/>
        </w:rPr>
        <w:t>, v případě zhoršení funkce přírodních zdrojů při znečištění (ekologická újma)</w:t>
      </w:r>
    </w:p>
    <w:p w:rsidR="00B129E1" w:rsidRPr="00FD54AB" w:rsidRDefault="00B129E1" w:rsidP="00E51DFC">
      <w:pPr>
        <w:spacing w:line="240" w:lineRule="auto"/>
        <w:ind w:left="993"/>
        <w:rPr>
          <w:rFonts w:ascii="Arial" w:hAnsi="Arial" w:cs="Arial"/>
          <w:sz w:val="20"/>
          <w:szCs w:val="20"/>
        </w:rPr>
      </w:pPr>
      <w:r w:rsidRPr="00FD54AB">
        <w:rPr>
          <w:rFonts w:ascii="Arial" w:hAnsi="Arial" w:cs="Arial"/>
          <w:sz w:val="20"/>
          <w:szCs w:val="20"/>
        </w:rPr>
        <w:t xml:space="preserve">Pojistitel se zavazuje uhradit rovněž náklady na nápravu vzniklé ekologické újmy, které jsou požadovány </w:t>
      </w:r>
      <w:proofErr w:type="gramStart"/>
      <w:r w:rsidRPr="00FD54AB">
        <w:rPr>
          <w:rFonts w:ascii="Arial" w:hAnsi="Arial" w:cs="Arial"/>
          <w:sz w:val="20"/>
          <w:szCs w:val="20"/>
        </w:rPr>
        <w:t>po</w:t>
      </w:r>
      <w:proofErr w:type="gramEnd"/>
      <w:r w:rsidRPr="00FD54AB">
        <w:rPr>
          <w:rFonts w:ascii="Arial" w:hAnsi="Arial" w:cs="Arial"/>
          <w:sz w:val="20"/>
          <w:szCs w:val="20"/>
        </w:rPr>
        <w:t xml:space="preserve"> pojištěném příslušným správním </w:t>
      </w:r>
      <w:proofErr w:type="gramStart"/>
      <w:r w:rsidRPr="00FD54AB">
        <w:rPr>
          <w:rFonts w:ascii="Arial" w:hAnsi="Arial" w:cs="Arial"/>
          <w:sz w:val="20"/>
          <w:szCs w:val="20"/>
        </w:rPr>
        <w:t>orgánem.</w:t>
      </w:r>
      <w:proofErr w:type="gramEnd"/>
    </w:p>
    <w:p w:rsidR="00B129E1" w:rsidRPr="00FD54AB" w:rsidRDefault="00B129E1" w:rsidP="00E51DFC">
      <w:pPr>
        <w:spacing w:line="240" w:lineRule="auto"/>
        <w:ind w:left="993"/>
        <w:rPr>
          <w:rFonts w:ascii="Arial" w:hAnsi="Arial" w:cs="Arial"/>
          <w:sz w:val="20"/>
          <w:szCs w:val="20"/>
        </w:rPr>
      </w:pPr>
      <w:r w:rsidRPr="00FD54AB">
        <w:rPr>
          <w:rFonts w:ascii="Arial" w:hAnsi="Arial" w:cs="Arial"/>
          <w:sz w:val="20"/>
          <w:szCs w:val="20"/>
        </w:rPr>
        <w:t xml:space="preserve">Ekologickou újmou se rozumí nepříznivá měřitelná změna přírodního zdroje nebo měřitelné zhoršení jeho funkcí, která se může projevit přímo nebo nepřímo; jedná se o změnu </w:t>
      </w:r>
      <w:proofErr w:type="gramStart"/>
      <w:r w:rsidRPr="00FD54AB">
        <w:rPr>
          <w:rFonts w:ascii="Arial" w:hAnsi="Arial" w:cs="Arial"/>
          <w:sz w:val="20"/>
          <w:szCs w:val="20"/>
        </w:rPr>
        <w:t>na</w:t>
      </w:r>
      <w:proofErr w:type="gramEnd"/>
      <w:r w:rsidRPr="00FD54AB">
        <w:rPr>
          <w:rFonts w:ascii="Arial" w:hAnsi="Arial" w:cs="Arial"/>
          <w:sz w:val="20"/>
          <w:szCs w:val="20"/>
        </w:rPr>
        <w:t>:</w:t>
      </w:r>
    </w:p>
    <w:p w:rsidR="00B129E1" w:rsidRPr="00FD54AB" w:rsidRDefault="00B129E1" w:rsidP="00E51DFC">
      <w:pPr>
        <w:widowControl/>
        <w:numPr>
          <w:ilvl w:val="0"/>
          <w:numId w:val="11"/>
        </w:numPr>
        <w:adjustRightInd/>
        <w:spacing w:line="240" w:lineRule="auto"/>
        <w:ind w:left="1418"/>
        <w:textAlignment w:val="auto"/>
        <w:rPr>
          <w:rFonts w:ascii="Arial" w:hAnsi="Arial" w:cs="Arial"/>
          <w:sz w:val="20"/>
          <w:szCs w:val="20"/>
        </w:rPr>
      </w:pPr>
      <w:r w:rsidRPr="00FD54AB">
        <w:rPr>
          <w:rFonts w:ascii="Arial" w:hAnsi="Arial" w:cs="Arial"/>
          <w:sz w:val="20"/>
          <w:szCs w:val="20"/>
        </w:rPr>
        <w:t xml:space="preserve">chráněných druzích volně žijících živočichů či planě rostoucích rostlin nebo přírodních </w:t>
      </w:r>
      <w:proofErr w:type="gramStart"/>
      <w:r w:rsidRPr="00FD54AB">
        <w:rPr>
          <w:rFonts w:ascii="Arial" w:hAnsi="Arial" w:cs="Arial"/>
          <w:sz w:val="20"/>
          <w:szCs w:val="20"/>
        </w:rPr>
        <w:t>stanovištích</w:t>
      </w:r>
      <w:proofErr w:type="gramEnd"/>
      <w:r w:rsidRPr="00FD54AB">
        <w:rPr>
          <w:rFonts w:ascii="Arial" w:hAnsi="Arial" w:cs="Arial"/>
          <w:sz w:val="20"/>
          <w:szCs w:val="20"/>
        </w:rPr>
        <w:t xml:space="preserve"> (biodiversity </w:t>
      </w:r>
      <w:proofErr w:type="spellStart"/>
      <w:r w:rsidRPr="00FD54AB">
        <w:rPr>
          <w:rFonts w:ascii="Arial" w:hAnsi="Arial" w:cs="Arial"/>
          <w:sz w:val="20"/>
          <w:szCs w:val="20"/>
        </w:rPr>
        <w:t>damage</w:t>
      </w:r>
      <w:proofErr w:type="spellEnd"/>
      <w:r w:rsidRPr="00FD54AB">
        <w:rPr>
          <w:rFonts w:ascii="Arial" w:hAnsi="Arial" w:cs="Arial"/>
          <w:sz w:val="20"/>
          <w:szCs w:val="20"/>
        </w:rPr>
        <w:t>),</w:t>
      </w:r>
    </w:p>
    <w:p w:rsidR="00B129E1" w:rsidRPr="00FD54AB" w:rsidRDefault="00B129E1" w:rsidP="00E51DFC">
      <w:pPr>
        <w:widowControl/>
        <w:numPr>
          <w:ilvl w:val="0"/>
          <w:numId w:val="11"/>
        </w:numPr>
        <w:adjustRightInd/>
        <w:spacing w:line="240" w:lineRule="auto"/>
        <w:ind w:left="1418"/>
        <w:textAlignment w:val="auto"/>
        <w:rPr>
          <w:rFonts w:ascii="Arial" w:hAnsi="Arial" w:cs="Arial"/>
          <w:sz w:val="20"/>
          <w:szCs w:val="20"/>
        </w:rPr>
      </w:pPr>
      <w:r w:rsidRPr="00FD54AB">
        <w:rPr>
          <w:rFonts w:ascii="Arial" w:hAnsi="Arial" w:cs="Arial"/>
          <w:sz w:val="20"/>
          <w:szCs w:val="20"/>
        </w:rPr>
        <w:t xml:space="preserve">podzemních nebo povrchových </w:t>
      </w:r>
      <w:proofErr w:type="gramStart"/>
      <w:r w:rsidRPr="00FD54AB">
        <w:rPr>
          <w:rFonts w:ascii="Arial" w:hAnsi="Arial" w:cs="Arial"/>
          <w:sz w:val="20"/>
          <w:szCs w:val="20"/>
        </w:rPr>
        <w:t>vodách</w:t>
      </w:r>
      <w:proofErr w:type="gramEnd"/>
      <w:r w:rsidRPr="00FD54AB">
        <w:rPr>
          <w:rFonts w:ascii="Arial" w:hAnsi="Arial" w:cs="Arial"/>
          <w:sz w:val="20"/>
          <w:szCs w:val="20"/>
        </w:rPr>
        <w:t xml:space="preserve"> včetně přírodních léčivých zdrojů a zdrojů přírodních minerálních vod (</w:t>
      </w:r>
      <w:proofErr w:type="spellStart"/>
      <w:r w:rsidRPr="00FD54AB">
        <w:rPr>
          <w:rFonts w:ascii="Arial" w:hAnsi="Arial" w:cs="Arial"/>
          <w:sz w:val="20"/>
          <w:szCs w:val="20"/>
        </w:rPr>
        <w:t>water</w:t>
      </w:r>
      <w:proofErr w:type="spellEnd"/>
      <w:r w:rsidRPr="00FD54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54AB">
        <w:rPr>
          <w:rFonts w:ascii="Arial" w:hAnsi="Arial" w:cs="Arial"/>
          <w:sz w:val="20"/>
          <w:szCs w:val="20"/>
        </w:rPr>
        <w:t>damage</w:t>
      </w:r>
      <w:proofErr w:type="spellEnd"/>
      <w:r w:rsidRPr="00FD54AB">
        <w:rPr>
          <w:rFonts w:ascii="Arial" w:hAnsi="Arial" w:cs="Arial"/>
          <w:sz w:val="20"/>
          <w:szCs w:val="20"/>
        </w:rPr>
        <w:t>),</w:t>
      </w:r>
    </w:p>
    <w:p w:rsidR="00B129E1" w:rsidRPr="00FD54AB" w:rsidRDefault="00B129E1" w:rsidP="00E51DFC">
      <w:pPr>
        <w:widowControl/>
        <w:numPr>
          <w:ilvl w:val="0"/>
          <w:numId w:val="11"/>
        </w:numPr>
        <w:adjustRightInd/>
        <w:spacing w:line="240" w:lineRule="auto"/>
        <w:ind w:left="1418"/>
        <w:textAlignment w:val="auto"/>
        <w:rPr>
          <w:rFonts w:ascii="Arial" w:hAnsi="Arial" w:cs="Arial"/>
          <w:sz w:val="20"/>
          <w:szCs w:val="20"/>
        </w:rPr>
      </w:pPr>
      <w:r w:rsidRPr="00FD54AB">
        <w:rPr>
          <w:rFonts w:ascii="Arial" w:hAnsi="Arial" w:cs="Arial"/>
          <w:sz w:val="20"/>
          <w:szCs w:val="20"/>
        </w:rPr>
        <w:t>půdě (</w:t>
      </w:r>
      <w:proofErr w:type="spellStart"/>
      <w:r w:rsidRPr="00FD54AB">
        <w:rPr>
          <w:rFonts w:ascii="Arial" w:hAnsi="Arial" w:cs="Arial"/>
          <w:sz w:val="20"/>
          <w:szCs w:val="20"/>
        </w:rPr>
        <w:t>land</w:t>
      </w:r>
      <w:proofErr w:type="spellEnd"/>
      <w:r w:rsidRPr="00FD54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54AB">
        <w:rPr>
          <w:rFonts w:ascii="Arial" w:hAnsi="Arial" w:cs="Arial"/>
          <w:sz w:val="20"/>
          <w:szCs w:val="20"/>
        </w:rPr>
        <w:t>damage</w:t>
      </w:r>
      <w:proofErr w:type="spellEnd"/>
      <w:r w:rsidRPr="00FD54AB">
        <w:rPr>
          <w:rFonts w:ascii="Arial" w:hAnsi="Arial" w:cs="Arial"/>
          <w:sz w:val="20"/>
          <w:szCs w:val="20"/>
        </w:rPr>
        <w:t>).</w:t>
      </w:r>
    </w:p>
    <w:p w:rsidR="00B129E1" w:rsidRPr="00FD54AB" w:rsidRDefault="00B129E1" w:rsidP="00E51DFC">
      <w:pPr>
        <w:spacing w:before="120" w:line="240" w:lineRule="auto"/>
        <w:ind w:left="567"/>
        <w:rPr>
          <w:rFonts w:ascii="Arial" w:hAnsi="Arial" w:cs="Arial"/>
          <w:sz w:val="20"/>
          <w:szCs w:val="20"/>
        </w:rPr>
      </w:pPr>
      <w:r w:rsidRPr="00FD54AB">
        <w:rPr>
          <w:rFonts w:ascii="Arial" w:hAnsi="Arial" w:cs="Arial"/>
          <w:sz w:val="20"/>
          <w:szCs w:val="20"/>
        </w:rPr>
        <w:t>Toto pojištění se vztahuje rovněž na případy, kdy znečištění z</w:t>
      </w:r>
      <w:r w:rsidR="00F129F5">
        <w:rPr>
          <w:rFonts w:ascii="Arial" w:hAnsi="Arial" w:cs="Arial"/>
          <w:sz w:val="20"/>
          <w:szCs w:val="20"/>
        </w:rPr>
        <w:t> </w:t>
      </w:r>
      <w:r w:rsidRPr="00FD54AB">
        <w:rPr>
          <w:rFonts w:ascii="Arial" w:hAnsi="Arial" w:cs="Arial"/>
          <w:sz w:val="20"/>
          <w:szCs w:val="20"/>
        </w:rPr>
        <w:t>objektů a z provozních zařízení pojištěného bylo zaviněno třetí osobou a došlo k němu i přesto, že byla přijata vhodná bezpečnostní opatření.</w:t>
      </w:r>
    </w:p>
    <w:p w:rsidR="00B129E1" w:rsidRPr="00FD54AB" w:rsidRDefault="00B129E1" w:rsidP="00E51DFC">
      <w:pPr>
        <w:spacing w:before="120" w:line="240" w:lineRule="auto"/>
        <w:ind w:left="567"/>
        <w:rPr>
          <w:rFonts w:ascii="Arial" w:hAnsi="Arial" w:cs="Arial"/>
          <w:sz w:val="20"/>
          <w:szCs w:val="20"/>
        </w:rPr>
      </w:pPr>
      <w:r w:rsidRPr="00FD54AB">
        <w:rPr>
          <w:rFonts w:ascii="Arial" w:hAnsi="Arial" w:cs="Arial"/>
          <w:b/>
          <w:sz w:val="20"/>
          <w:szCs w:val="20"/>
        </w:rPr>
        <w:t>Obecně závazné environmentální právní předpisy</w:t>
      </w:r>
      <w:r w:rsidRPr="00FD54AB">
        <w:rPr>
          <w:rFonts w:ascii="Arial" w:hAnsi="Arial" w:cs="Arial"/>
          <w:sz w:val="20"/>
          <w:szCs w:val="20"/>
        </w:rPr>
        <w:t xml:space="preserve"> jsou obecně závazné právní předpisy v oblasti prevence a nápravy škod na životním prostředí a v oblasti prevence, předcházení ekologické újmě a o její nápravě nebo v oblasti ochrany přírody, krajiny nebo životního prostředí</w:t>
      </w:r>
      <w:r w:rsidR="00DA3866">
        <w:rPr>
          <w:rFonts w:ascii="Arial" w:hAnsi="Arial" w:cs="Arial"/>
          <w:sz w:val="20"/>
          <w:szCs w:val="20"/>
        </w:rPr>
        <w:t>, včetně všech jeho složek</w:t>
      </w:r>
      <w:r w:rsidRPr="00FD54AB">
        <w:rPr>
          <w:rFonts w:ascii="Arial" w:hAnsi="Arial" w:cs="Arial"/>
          <w:sz w:val="20"/>
          <w:szCs w:val="20"/>
        </w:rPr>
        <w:t>.</w:t>
      </w:r>
    </w:p>
    <w:p w:rsidR="00B129E1" w:rsidRPr="00FD54AB" w:rsidRDefault="00B129E1" w:rsidP="00E51DFC">
      <w:pPr>
        <w:spacing w:before="120" w:line="240" w:lineRule="auto"/>
        <w:ind w:left="567"/>
        <w:rPr>
          <w:rFonts w:ascii="Arial" w:hAnsi="Arial" w:cs="Arial"/>
          <w:sz w:val="20"/>
          <w:szCs w:val="20"/>
        </w:rPr>
      </w:pPr>
      <w:r w:rsidRPr="00FD54AB">
        <w:rPr>
          <w:rFonts w:ascii="Arial" w:hAnsi="Arial" w:cs="Arial"/>
          <w:sz w:val="20"/>
          <w:szCs w:val="20"/>
        </w:rPr>
        <w:lastRenderedPageBreak/>
        <w:t>Pojistné krytí poskytnuté dle výše uvedených ujednání se vztahuje pouze na náklady a/nebo škody vzniklé v důsledku náhlé, konkrétní a zjistitelné události.</w:t>
      </w:r>
    </w:p>
    <w:p w:rsidR="00B129E1" w:rsidRPr="00FD54AB" w:rsidRDefault="00B129E1" w:rsidP="0046076C">
      <w:pPr>
        <w:tabs>
          <w:tab w:val="left" w:pos="540"/>
        </w:tabs>
        <w:spacing w:line="0" w:lineRule="atLeast"/>
        <w:ind w:left="539"/>
        <w:rPr>
          <w:rFonts w:ascii="Arial" w:hAnsi="Arial" w:cs="Arial"/>
          <w:sz w:val="20"/>
          <w:szCs w:val="20"/>
        </w:rPr>
      </w:pPr>
    </w:p>
    <w:p w:rsidR="00B129E1" w:rsidRPr="00FD54AB" w:rsidRDefault="00B129E1" w:rsidP="0046076C">
      <w:pPr>
        <w:tabs>
          <w:tab w:val="left" w:pos="540"/>
        </w:tabs>
        <w:spacing w:line="0" w:lineRule="atLeast"/>
        <w:ind w:left="539"/>
        <w:rPr>
          <w:rFonts w:ascii="Arial" w:hAnsi="Arial" w:cs="Arial"/>
          <w:sz w:val="20"/>
          <w:szCs w:val="20"/>
        </w:rPr>
      </w:pPr>
    </w:p>
    <w:p w:rsidR="0046076C" w:rsidRPr="00FD54AB" w:rsidRDefault="00EA7B5F" w:rsidP="00E51DFC">
      <w:pPr>
        <w:tabs>
          <w:tab w:val="left" w:pos="142"/>
        </w:tabs>
        <w:spacing w:line="0" w:lineRule="atLeast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 stanoví s</w:t>
      </w:r>
      <w:r w:rsidR="0046076C" w:rsidRPr="00FD54AB">
        <w:rPr>
          <w:rFonts w:ascii="Arial" w:hAnsi="Arial" w:cs="Arial"/>
          <w:sz w:val="20"/>
          <w:szCs w:val="20"/>
        </w:rPr>
        <w:t>poluúčast</w:t>
      </w:r>
      <w:r>
        <w:rPr>
          <w:rFonts w:ascii="Arial" w:hAnsi="Arial" w:cs="Arial"/>
          <w:sz w:val="20"/>
          <w:szCs w:val="20"/>
        </w:rPr>
        <w:t xml:space="preserve"> zadavatele pro jednotlivá pojistná nebezpečí takto</w:t>
      </w:r>
      <w:r w:rsidR="0046076C" w:rsidRPr="00FD54AB">
        <w:rPr>
          <w:rFonts w:ascii="Arial" w:hAnsi="Arial" w:cs="Arial"/>
          <w:sz w:val="20"/>
          <w:szCs w:val="20"/>
        </w:rPr>
        <w:t>:</w:t>
      </w:r>
    </w:p>
    <w:p w:rsidR="0046076C" w:rsidRPr="00FD54AB" w:rsidRDefault="0046076C" w:rsidP="0046076C">
      <w:pPr>
        <w:pStyle w:val="Adresa"/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</w:tabs>
        <w:ind w:left="540"/>
        <w:jc w:val="both"/>
        <w:rPr>
          <w:rFonts w:cs="Arial"/>
          <w:sz w:val="20"/>
        </w:rPr>
      </w:pPr>
    </w:p>
    <w:tbl>
      <w:tblPr>
        <w:tblW w:w="8640" w:type="dxa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5"/>
        <w:gridCol w:w="4035"/>
      </w:tblGrid>
      <w:tr w:rsidR="0046076C" w:rsidRPr="00FD54AB" w:rsidTr="0046076C">
        <w:trPr>
          <w:trHeight w:hRule="exact" w:val="794"/>
        </w:trPr>
        <w:tc>
          <w:tcPr>
            <w:tcW w:w="460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CFF"/>
            <w:vAlign w:val="center"/>
          </w:tcPr>
          <w:p w:rsidR="0046076C" w:rsidRPr="00FD54AB" w:rsidRDefault="0046076C" w:rsidP="0046076C">
            <w:pPr>
              <w:pStyle w:val="Adresa"/>
              <w:widowControl w:val="0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line="360" w:lineRule="atLeast"/>
              <w:jc w:val="both"/>
              <w:rPr>
                <w:rFonts w:cs="Arial"/>
                <w:b/>
                <w:sz w:val="20"/>
              </w:rPr>
            </w:pPr>
            <w:r w:rsidRPr="00FD54AB">
              <w:rPr>
                <w:rFonts w:cs="Arial"/>
                <w:b/>
                <w:sz w:val="20"/>
              </w:rPr>
              <w:t>Pojistné nebezpečí</w:t>
            </w:r>
          </w:p>
        </w:tc>
        <w:tc>
          <w:tcPr>
            <w:tcW w:w="403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CFF"/>
            <w:vAlign w:val="center"/>
          </w:tcPr>
          <w:p w:rsidR="0046076C" w:rsidRPr="00FD54AB" w:rsidRDefault="0046076C" w:rsidP="0046076C">
            <w:pPr>
              <w:pStyle w:val="Adresa"/>
              <w:widowControl w:val="0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line="360" w:lineRule="atLeast"/>
              <w:jc w:val="center"/>
              <w:rPr>
                <w:rFonts w:cs="Arial"/>
                <w:b/>
                <w:sz w:val="20"/>
              </w:rPr>
            </w:pPr>
            <w:r w:rsidRPr="00FD54AB">
              <w:rPr>
                <w:rFonts w:cs="Arial"/>
                <w:b/>
                <w:sz w:val="20"/>
              </w:rPr>
              <w:t>Spoluúčast (v Kč)</w:t>
            </w:r>
          </w:p>
        </w:tc>
      </w:tr>
      <w:tr w:rsidR="0046076C" w:rsidRPr="00FD54AB" w:rsidTr="0046076C">
        <w:tc>
          <w:tcPr>
            <w:tcW w:w="460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74A27" w:rsidRPr="00E51DFC" w:rsidRDefault="00874A27" w:rsidP="00874A27">
            <w:pPr>
              <w:widowControl/>
              <w:adjustRightInd/>
              <w:spacing w:line="240" w:lineRule="auto"/>
              <w:textAlignment w:val="auto"/>
              <w:rPr>
                <w:sz w:val="16"/>
                <w:szCs w:val="16"/>
              </w:rPr>
            </w:pPr>
            <w:r w:rsidRPr="00E51DFC">
              <w:rPr>
                <w:b/>
                <w:sz w:val="16"/>
                <w:szCs w:val="16"/>
              </w:rPr>
              <w:t>Obecná odpovědnost za újmu</w:t>
            </w:r>
            <w:r w:rsidRPr="00E51DFC">
              <w:rPr>
                <w:sz w:val="16"/>
                <w:szCs w:val="16"/>
              </w:rPr>
              <w:t xml:space="preserve"> („PROVOZNÍ ODPOVĚDNOST“)</w:t>
            </w:r>
          </w:p>
          <w:p w:rsidR="00874A27" w:rsidRPr="00E51DFC" w:rsidRDefault="00874A27" w:rsidP="00874A27">
            <w:pPr>
              <w:pStyle w:val="Adresa"/>
              <w:widowControl w:val="0"/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E51DFC">
              <w:rPr>
                <w:rFonts w:ascii="Times New Roman" w:hAnsi="Times New Roman"/>
                <w:sz w:val="16"/>
                <w:szCs w:val="16"/>
              </w:rPr>
              <w:t>Pojištění se vztahuje i na odpovědnost za újmu vyplývající z vlastnictví nebo držby nemovitých věcí včetně škod na pronajatých nemovitých věcech.</w:t>
            </w:r>
          </w:p>
          <w:p w:rsidR="0046076C" w:rsidRPr="00EA7B5F" w:rsidRDefault="0046076C" w:rsidP="00874A27">
            <w:pPr>
              <w:pStyle w:val="Adresa"/>
              <w:widowControl w:val="0"/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6076C" w:rsidRPr="00FD54AB" w:rsidRDefault="005742C6" w:rsidP="002B090B">
            <w:pPr>
              <w:pStyle w:val="Adresa"/>
              <w:widowControl w:val="0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100" w:beforeAutospacing="1" w:after="100" w:afterAutospacing="1" w:line="240" w:lineRule="exact"/>
              <w:jc w:val="right"/>
              <w:rPr>
                <w:rFonts w:cs="Arial"/>
                <w:sz w:val="20"/>
              </w:rPr>
            </w:pPr>
            <w:r w:rsidRPr="00FD54AB">
              <w:rPr>
                <w:rFonts w:cs="Arial"/>
                <w:sz w:val="20"/>
              </w:rPr>
              <w:t>100.000</w:t>
            </w:r>
          </w:p>
        </w:tc>
      </w:tr>
      <w:tr w:rsidR="00B129E1" w:rsidRPr="00FD54AB" w:rsidTr="0046076C">
        <w:trPr>
          <w:trHeight w:hRule="exact" w:val="397"/>
        </w:trPr>
        <w:tc>
          <w:tcPr>
            <w:tcW w:w="4605" w:type="dxa"/>
            <w:shd w:val="clear" w:color="auto" w:fill="auto"/>
            <w:vAlign w:val="center"/>
          </w:tcPr>
          <w:p w:rsidR="00B129E1" w:rsidRPr="00EA7B5F" w:rsidRDefault="00B129E1" w:rsidP="007124EB">
            <w:pPr>
              <w:pStyle w:val="Adresa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rPr>
                <w:rFonts w:ascii="Times New Roman" w:hAnsi="Times New Roman"/>
                <w:sz w:val="16"/>
                <w:szCs w:val="16"/>
              </w:rPr>
            </w:pPr>
            <w:r w:rsidRPr="00EA7B5F">
              <w:rPr>
                <w:rFonts w:ascii="Times New Roman" w:hAnsi="Times New Roman"/>
                <w:b/>
                <w:sz w:val="16"/>
                <w:szCs w:val="16"/>
              </w:rPr>
              <w:t xml:space="preserve">Odpovědnost za újmu vzniklou vadou výrobku </w:t>
            </w:r>
            <w:r w:rsidRPr="00EA7B5F">
              <w:rPr>
                <w:rFonts w:ascii="Times New Roman" w:hAnsi="Times New Roman"/>
                <w:sz w:val="16"/>
                <w:szCs w:val="16"/>
              </w:rPr>
              <w:t>(„ODPOVĚDNOST ZA VÝROBEK“)</w:t>
            </w:r>
          </w:p>
          <w:p w:rsidR="00B129E1" w:rsidRPr="00EA7B5F" w:rsidRDefault="00B129E1" w:rsidP="007124EB">
            <w:pPr>
              <w:widowControl/>
              <w:adjustRightInd/>
              <w:spacing w:line="240" w:lineRule="auto"/>
              <w:textAlignment w:val="auto"/>
              <w:rPr>
                <w:sz w:val="16"/>
                <w:szCs w:val="16"/>
              </w:rPr>
            </w:pPr>
          </w:p>
        </w:tc>
        <w:tc>
          <w:tcPr>
            <w:tcW w:w="4035" w:type="dxa"/>
            <w:shd w:val="clear" w:color="auto" w:fill="auto"/>
            <w:vAlign w:val="center"/>
          </w:tcPr>
          <w:p w:rsidR="00B129E1" w:rsidRPr="00FD54AB" w:rsidRDefault="00B129E1" w:rsidP="002B090B">
            <w:pPr>
              <w:pStyle w:val="Adresa"/>
              <w:widowControl w:val="0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100" w:beforeAutospacing="1" w:after="100" w:afterAutospacing="1" w:line="240" w:lineRule="exact"/>
              <w:jc w:val="right"/>
              <w:rPr>
                <w:rFonts w:cs="Arial"/>
                <w:sz w:val="20"/>
              </w:rPr>
            </w:pPr>
            <w:r w:rsidRPr="00FD54AB">
              <w:rPr>
                <w:rFonts w:cs="Arial"/>
                <w:sz w:val="20"/>
              </w:rPr>
              <w:t>1.000.000</w:t>
            </w:r>
          </w:p>
        </w:tc>
      </w:tr>
      <w:tr w:rsidR="00B129E1" w:rsidRPr="00FD54AB" w:rsidTr="0046076C">
        <w:tc>
          <w:tcPr>
            <w:tcW w:w="4605" w:type="dxa"/>
            <w:shd w:val="clear" w:color="auto" w:fill="auto"/>
            <w:vAlign w:val="center"/>
          </w:tcPr>
          <w:p w:rsidR="00AE13C7" w:rsidRPr="00EA7B5F" w:rsidRDefault="00AE13C7" w:rsidP="00AE13C7">
            <w:pPr>
              <w:pStyle w:val="Adresa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rPr>
                <w:rFonts w:ascii="Times New Roman" w:hAnsi="Times New Roman"/>
                <w:sz w:val="16"/>
                <w:szCs w:val="16"/>
              </w:rPr>
            </w:pPr>
            <w:r w:rsidRPr="00EA7B5F">
              <w:rPr>
                <w:rFonts w:ascii="Times New Roman" w:hAnsi="Times New Roman"/>
                <w:b/>
                <w:sz w:val="16"/>
                <w:szCs w:val="16"/>
              </w:rPr>
              <w:t xml:space="preserve">Odpovědnost za újmu způsobenou náhlým a nahodilým znečištěním životního </w:t>
            </w:r>
            <w:proofErr w:type="gramStart"/>
            <w:r w:rsidRPr="00EA7B5F">
              <w:rPr>
                <w:rFonts w:ascii="Times New Roman" w:hAnsi="Times New Roman"/>
                <w:b/>
                <w:sz w:val="16"/>
                <w:szCs w:val="16"/>
              </w:rPr>
              <w:t xml:space="preserve">prostředí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(i kterékoliv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jeho složky) v celém územním rozsahu pojištění </w:t>
            </w:r>
            <w:r w:rsidRPr="00EA7B5F">
              <w:rPr>
                <w:rFonts w:ascii="Times New Roman" w:hAnsi="Times New Roman"/>
                <w:b/>
                <w:sz w:val="16"/>
                <w:szCs w:val="16"/>
              </w:rPr>
              <w:t xml:space="preserve">včetně odpovědnosti za újmu vzniklou v důsledku závažné havárie dle zákona č. 59/2006 Sb.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,  </w:t>
            </w:r>
            <w:r w:rsidRPr="00EA7B5F">
              <w:rPr>
                <w:rFonts w:ascii="Times New Roman" w:hAnsi="Times New Roman"/>
                <w:sz w:val="16"/>
                <w:szCs w:val="16"/>
              </w:rPr>
              <w:t>ve skladech Třem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 w:rsidRPr="00EA7B5F">
              <w:rPr>
                <w:rFonts w:ascii="Times New Roman" w:hAnsi="Times New Roman"/>
                <w:sz w:val="16"/>
                <w:szCs w:val="16"/>
              </w:rPr>
              <w:t>šná, Bělčice, Hájek, Smyslov, Včelná,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Hněvice</w:t>
            </w:r>
            <w:r w:rsidRPr="00EA7B5F">
              <w:rPr>
                <w:rFonts w:ascii="Times New Roman" w:hAnsi="Times New Roman"/>
                <w:sz w:val="16"/>
                <w:szCs w:val="16"/>
              </w:rPr>
              <w:t>, Mstětice, Ce</w:t>
            </w:r>
            <w:bookmarkStart w:id="1" w:name="_GoBack"/>
            <w:bookmarkEnd w:id="1"/>
            <w:r w:rsidRPr="00EA7B5F">
              <w:rPr>
                <w:rFonts w:ascii="Times New Roman" w:hAnsi="Times New Roman"/>
                <w:sz w:val="16"/>
                <w:szCs w:val="16"/>
              </w:rPr>
              <w:t>rekvice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n. Bystřicí</w:t>
            </w:r>
            <w:r w:rsidRPr="00EA7B5F">
              <w:rPr>
                <w:rFonts w:ascii="Times New Roman" w:hAnsi="Times New Roman"/>
                <w:sz w:val="16"/>
                <w:szCs w:val="16"/>
              </w:rPr>
              <w:t>, Nové Město, Šlapanov, Potěhy, Loukov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EA7B5F">
              <w:rPr>
                <w:rFonts w:ascii="Times New Roman" w:hAnsi="Times New Roman"/>
                <w:sz w:val="16"/>
                <w:szCs w:val="16"/>
              </w:rPr>
              <w:t xml:space="preserve"> Sedlnice, Střelice, Klobouky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u Brna</w:t>
            </w:r>
            <w:r w:rsidRPr="00EA7B5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E13C7" w:rsidRDefault="00AE13C7" w:rsidP="00AE13C7">
            <w:pPr>
              <w:pStyle w:val="Adresa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rPr>
                <w:rFonts w:ascii="Times New Roman" w:hAnsi="Times New Roman"/>
                <w:sz w:val="16"/>
                <w:szCs w:val="16"/>
              </w:rPr>
            </w:pPr>
            <w:r w:rsidRPr="00EA7B5F">
              <w:rPr>
                <w:rFonts w:ascii="Times New Roman" w:hAnsi="Times New Roman"/>
                <w:sz w:val="16"/>
                <w:szCs w:val="16"/>
              </w:rPr>
              <w:t>(„ODPOVĚDNOST ZA ZNEČIŠTĚNÍ“)</w:t>
            </w:r>
          </w:p>
          <w:p w:rsidR="00AE13C7" w:rsidRPr="00EA7B5F" w:rsidRDefault="00AE13C7" w:rsidP="00AE13C7">
            <w:pPr>
              <w:pStyle w:val="Adresa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AE13C7" w:rsidRPr="00EA7B5F" w:rsidRDefault="00AE13C7" w:rsidP="00AE13C7">
            <w:pPr>
              <w:pStyle w:val="Adresa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rPr>
                <w:rFonts w:ascii="Times New Roman" w:hAnsi="Times New Roman"/>
                <w:sz w:val="16"/>
                <w:szCs w:val="16"/>
              </w:rPr>
            </w:pPr>
            <w:r w:rsidRPr="00EA7B5F">
              <w:rPr>
                <w:rFonts w:ascii="Times New Roman" w:hAnsi="Times New Roman"/>
                <w:sz w:val="16"/>
                <w:szCs w:val="16"/>
              </w:rPr>
              <w:t xml:space="preserve">Včetně </w:t>
            </w:r>
            <w:r w:rsidRPr="00EA7B5F">
              <w:rPr>
                <w:rFonts w:ascii="Times New Roman" w:hAnsi="Times New Roman"/>
                <w:b/>
                <w:sz w:val="16"/>
                <w:szCs w:val="16"/>
              </w:rPr>
              <w:t xml:space="preserve">pojištění nákladů na nápravná opatření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A7B5F">
              <w:rPr>
                <w:rFonts w:ascii="Times New Roman" w:hAnsi="Times New Roman"/>
                <w:b/>
                <w:sz w:val="16"/>
                <w:szCs w:val="16"/>
              </w:rPr>
              <w:t xml:space="preserve">(dekontaminaci </w:t>
            </w:r>
            <w:proofErr w:type="gramStart"/>
            <w:r w:rsidRPr="00EA7B5F">
              <w:rPr>
                <w:rFonts w:ascii="Times New Roman" w:hAnsi="Times New Roman"/>
                <w:b/>
                <w:sz w:val="16"/>
                <w:szCs w:val="16"/>
              </w:rPr>
              <w:t>apod.)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A7B5F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EA7B5F">
              <w:rPr>
                <w:rFonts w:ascii="Times New Roman" w:hAnsi="Times New Roman"/>
                <w:sz w:val="16"/>
                <w:szCs w:val="16"/>
              </w:rPr>
              <w:t xml:space="preserve"> které</w:t>
            </w:r>
            <w:proofErr w:type="gramEnd"/>
            <w:r w:rsidRPr="00EA7B5F">
              <w:rPr>
                <w:rFonts w:ascii="Times New Roman" w:hAnsi="Times New Roman"/>
                <w:sz w:val="16"/>
                <w:szCs w:val="16"/>
              </w:rPr>
              <w:t xml:space="preserve"> je povinen pojištěný uhradit nad/mimo rámec odpovědnosti za újmu.</w:t>
            </w:r>
          </w:p>
          <w:p w:rsidR="00AE13C7" w:rsidRDefault="00AE13C7" w:rsidP="00AE13C7">
            <w:pPr>
              <w:pStyle w:val="Adresa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rPr>
                <w:rFonts w:ascii="Times New Roman" w:hAnsi="Times New Roman"/>
                <w:sz w:val="16"/>
                <w:szCs w:val="16"/>
              </w:rPr>
            </w:pPr>
            <w:r w:rsidRPr="00EA7B5F">
              <w:rPr>
                <w:rFonts w:ascii="Times New Roman" w:hAnsi="Times New Roman"/>
                <w:sz w:val="16"/>
                <w:szCs w:val="16"/>
              </w:rPr>
              <w:t xml:space="preserve">Včetně </w:t>
            </w:r>
            <w:r w:rsidRPr="00EA7B5F">
              <w:rPr>
                <w:rFonts w:ascii="Times New Roman" w:hAnsi="Times New Roman"/>
                <w:b/>
                <w:sz w:val="16"/>
                <w:szCs w:val="16"/>
              </w:rPr>
              <w:t>pojištění nákladů na preventivní nebo nápravná opatření</w:t>
            </w:r>
            <w:r w:rsidRPr="00EA7B5F">
              <w:rPr>
                <w:rFonts w:ascii="Times New Roman" w:hAnsi="Times New Roman"/>
                <w:sz w:val="16"/>
                <w:szCs w:val="16"/>
              </w:rPr>
              <w:t xml:space="preserve">, které je povinen pojištěný uhradit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podle </w:t>
            </w:r>
            <w:r w:rsidRPr="00EA7B5F">
              <w:rPr>
                <w:rFonts w:ascii="Times New Roman" w:hAnsi="Times New Roman"/>
                <w:sz w:val="16"/>
                <w:szCs w:val="16"/>
              </w:rPr>
              <w:t>zákona, v případě zhoršení funkce přírodních zdrojů při znečištění (ekologická újma)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B129E1" w:rsidRPr="00EA7B5F" w:rsidRDefault="00DD4C00" w:rsidP="00E51DFC">
            <w:pPr>
              <w:pStyle w:val="Adresa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*) podrobněji viz výše</w:t>
            </w:r>
            <w:r w:rsidR="00AE13C7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B129E1" w:rsidRPr="00FD54AB" w:rsidRDefault="00B129E1" w:rsidP="002B090B">
            <w:pPr>
              <w:pStyle w:val="Adresa"/>
              <w:widowControl w:val="0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100" w:beforeAutospacing="1" w:after="100" w:afterAutospacing="1" w:line="240" w:lineRule="exact"/>
              <w:jc w:val="right"/>
              <w:rPr>
                <w:rFonts w:cs="Arial"/>
                <w:sz w:val="20"/>
              </w:rPr>
            </w:pPr>
            <w:r w:rsidRPr="00FD54AB">
              <w:rPr>
                <w:rFonts w:cs="Arial"/>
                <w:sz w:val="20"/>
              </w:rPr>
              <w:t>1.000.000</w:t>
            </w:r>
          </w:p>
        </w:tc>
      </w:tr>
      <w:tr w:rsidR="00007AF2" w:rsidRPr="00FD54AB" w:rsidTr="00007AF2">
        <w:trPr>
          <w:trHeight w:hRule="exact" w:val="1321"/>
        </w:trPr>
        <w:tc>
          <w:tcPr>
            <w:tcW w:w="4605" w:type="dxa"/>
            <w:shd w:val="clear" w:color="auto" w:fill="auto"/>
            <w:vAlign w:val="center"/>
          </w:tcPr>
          <w:p w:rsidR="00007AF2" w:rsidRPr="00EA7B5F" w:rsidRDefault="00007AF2" w:rsidP="007124EB">
            <w:pPr>
              <w:pStyle w:val="Adresa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rPr>
                <w:rFonts w:ascii="Times New Roman" w:hAnsi="Times New Roman"/>
                <w:sz w:val="16"/>
                <w:szCs w:val="16"/>
              </w:rPr>
            </w:pPr>
            <w:r w:rsidRPr="00EA7B5F">
              <w:rPr>
                <w:rFonts w:ascii="Times New Roman" w:hAnsi="Times New Roman"/>
                <w:sz w:val="16"/>
                <w:szCs w:val="16"/>
              </w:rPr>
              <w:t>Regresní náhrada nákladů na léčení vynaložených zdravotní pojišťovnou na zdravotní péči poskytovanou zaměstnanci pojištěného, který utrpěl tělesnou újmu v důsledku pracovního úrazu nebo nemoci z povolání.</w:t>
            </w:r>
          </w:p>
          <w:p w:rsidR="00007AF2" w:rsidRPr="00EA7B5F" w:rsidRDefault="00007AF2" w:rsidP="007124EB">
            <w:pPr>
              <w:pStyle w:val="Adresa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rPr>
                <w:rFonts w:ascii="Times New Roman" w:hAnsi="Times New Roman"/>
                <w:sz w:val="16"/>
                <w:szCs w:val="16"/>
              </w:rPr>
            </w:pPr>
            <w:r w:rsidRPr="00EA7B5F">
              <w:rPr>
                <w:rFonts w:ascii="Times New Roman" w:hAnsi="Times New Roman"/>
                <w:sz w:val="16"/>
                <w:szCs w:val="16"/>
              </w:rPr>
              <w:t>Regresní náhrada dávek nemocenského pojištění vplacených orgánem nemocenského pojištění v důsledku zaviněného protiprávního jednání pojištěného.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007AF2" w:rsidRPr="00FD54AB" w:rsidRDefault="00007AF2" w:rsidP="002B090B">
            <w:pPr>
              <w:pStyle w:val="Adresa"/>
              <w:widowControl w:val="0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100" w:beforeAutospacing="1" w:after="100" w:afterAutospacing="1" w:line="240" w:lineRule="exact"/>
              <w:jc w:val="right"/>
              <w:rPr>
                <w:rFonts w:cs="Arial"/>
                <w:sz w:val="20"/>
              </w:rPr>
            </w:pPr>
            <w:r w:rsidRPr="00FD54AB">
              <w:rPr>
                <w:rFonts w:cs="Arial"/>
                <w:sz w:val="20"/>
              </w:rPr>
              <w:t>5.000</w:t>
            </w:r>
          </w:p>
        </w:tc>
      </w:tr>
      <w:tr w:rsidR="00B129E1" w:rsidRPr="00FD54AB" w:rsidTr="00007AF2">
        <w:trPr>
          <w:trHeight w:hRule="exact" w:val="716"/>
        </w:trPr>
        <w:tc>
          <w:tcPr>
            <w:tcW w:w="4605" w:type="dxa"/>
            <w:shd w:val="clear" w:color="auto" w:fill="auto"/>
            <w:vAlign w:val="center"/>
          </w:tcPr>
          <w:p w:rsidR="00B129E1" w:rsidRPr="00EA7B5F" w:rsidRDefault="00007AF2" w:rsidP="0046076C">
            <w:pPr>
              <w:pStyle w:val="Adresa"/>
              <w:widowControl w:val="0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EA7B5F">
              <w:rPr>
                <w:rFonts w:ascii="Times New Roman" w:hAnsi="Times New Roman"/>
                <w:sz w:val="16"/>
                <w:szCs w:val="16"/>
              </w:rPr>
              <w:t>Odpovědnost za újmu způsobenou zaměstnanci na věci při plnění pracovních úkolů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B129E1" w:rsidRPr="00FD54AB" w:rsidRDefault="00B129E1" w:rsidP="002B090B">
            <w:pPr>
              <w:pStyle w:val="Adresa"/>
              <w:widowControl w:val="0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100" w:beforeAutospacing="1" w:after="100" w:afterAutospacing="1" w:line="240" w:lineRule="exact"/>
              <w:jc w:val="right"/>
              <w:rPr>
                <w:rFonts w:cs="Arial"/>
                <w:sz w:val="20"/>
              </w:rPr>
            </w:pPr>
            <w:r w:rsidRPr="00FD54AB">
              <w:rPr>
                <w:rFonts w:cs="Arial"/>
                <w:sz w:val="20"/>
              </w:rPr>
              <w:t>1.000</w:t>
            </w:r>
          </w:p>
        </w:tc>
      </w:tr>
      <w:tr w:rsidR="00B129E1" w:rsidRPr="00FD54AB" w:rsidTr="00007AF2">
        <w:trPr>
          <w:trHeight w:hRule="exact" w:val="699"/>
        </w:trPr>
        <w:tc>
          <w:tcPr>
            <w:tcW w:w="4605" w:type="dxa"/>
            <w:shd w:val="clear" w:color="auto" w:fill="auto"/>
            <w:vAlign w:val="center"/>
          </w:tcPr>
          <w:p w:rsidR="00B129E1" w:rsidRPr="00EA7B5F" w:rsidRDefault="00007AF2" w:rsidP="0046076C">
            <w:pPr>
              <w:pStyle w:val="Adresa"/>
              <w:widowControl w:val="0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EA7B5F">
              <w:rPr>
                <w:rFonts w:ascii="Times New Roman" w:hAnsi="Times New Roman"/>
                <w:sz w:val="16"/>
                <w:szCs w:val="16"/>
              </w:rPr>
              <w:t>Odpovědnost za újmu, která vznikla jinak než jako újma na zdraví, životě a věci („čisté finanční škody“)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B129E1" w:rsidRPr="00FD54AB" w:rsidRDefault="00B129E1" w:rsidP="002B090B">
            <w:pPr>
              <w:pStyle w:val="Adresa"/>
              <w:widowControl w:val="0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100" w:beforeAutospacing="1" w:after="100" w:afterAutospacing="1" w:line="240" w:lineRule="exact"/>
              <w:jc w:val="right"/>
              <w:rPr>
                <w:rFonts w:cs="Arial"/>
                <w:sz w:val="20"/>
              </w:rPr>
            </w:pPr>
            <w:r w:rsidRPr="00FD54AB">
              <w:rPr>
                <w:rFonts w:cs="Arial"/>
                <w:sz w:val="20"/>
              </w:rPr>
              <w:t>5.000</w:t>
            </w:r>
          </w:p>
        </w:tc>
      </w:tr>
      <w:tr w:rsidR="00B129E1" w:rsidRPr="00FD54AB" w:rsidTr="00007AF2">
        <w:trPr>
          <w:trHeight w:hRule="exact" w:val="850"/>
        </w:trPr>
        <w:tc>
          <w:tcPr>
            <w:tcW w:w="4605" w:type="dxa"/>
            <w:shd w:val="clear" w:color="auto" w:fill="auto"/>
            <w:vAlign w:val="center"/>
          </w:tcPr>
          <w:p w:rsidR="00007AF2" w:rsidRPr="00EA7B5F" w:rsidRDefault="00007AF2" w:rsidP="00007AF2">
            <w:pPr>
              <w:pStyle w:val="Adresa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rPr>
                <w:rFonts w:ascii="Times New Roman" w:hAnsi="Times New Roman"/>
                <w:sz w:val="16"/>
                <w:szCs w:val="16"/>
              </w:rPr>
            </w:pPr>
            <w:r w:rsidRPr="00EA7B5F">
              <w:rPr>
                <w:rFonts w:ascii="Times New Roman" w:hAnsi="Times New Roman"/>
                <w:sz w:val="16"/>
                <w:szCs w:val="16"/>
              </w:rPr>
              <w:t>Odpovědnost za újmu na věcech převzatých a užívaných</w:t>
            </w:r>
          </w:p>
          <w:p w:rsidR="00B129E1" w:rsidRPr="00EA7B5F" w:rsidRDefault="00007AF2" w:rsidP="00DA2E2E">
            <w:pPr>
              <w:widowControl/>
              <w:adjustRightInd/>
              <w:spacing w:line="240" w:lineRule="auto"/>
              <w:textAlignment w:val="auto"/>
              <w:rPr>
                <w:sz w:val="16"/>
                <w:szCs w:val="16"/>
              </w:rPr>
            </w:pPr>
            <w:r w:rsidRPr="00EA7B5F">
              <w:rPr>
                <w:sz w:val="16"/>
                <w:szCs w:val="16"/>
              </w:rPr>
              <w:t>Pojištění se vztahuje také na škody způsobené poškozením, zničením, ztrátou a odcizením věci (nevztahuje se na škodu na motorových vozidlech)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B129E1" w:rsidRPr="00FD54AB" w:rsidRDefault="00B129E1" w:rsidP="002B090B">
            <w:pPr>
              <w:pStyle w:val="Adresa"/>
              <w:widowControl w:val="0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100" w:beforeAutospacing="1" w:after="100" w:afterAutospacing="1" w:line="240" w:lineRule="exact"/>
              <w:jc w:val="right"/>
              <w:rPr>
                <w:rFonts w:cs="Arial"/>
                <w:sz w:val="20"/>
              </w:rPr>
            </w:pPr>
            <w:r w:rsidRPr="00FD54AB">
              <w:rPr>
                <w:rFonts w:cs="Arial"/>
                <w:sz w:val="20"/>
              </w:rPr>
              <w:t>5.000</w:t>
            </w:r>
          </w:p>
        </w:tc>
      </w:tr>
    </w:tbl>
    <w:p w:rsidR="00286697" w:rsidRDefault="00286697" w:rsidP="0046076C">
      <w:pPr>
        <w:widowControl/>
        <w:adjustRightInd/>
        <w:spacing w:line="240" w:lineRule="auto"/>
        <w:ind w:left="539"/>
        <w:textAlignment w:val="auto"/>
        <w:rPr>
          <w:rFonts w:ascii="Arial" w:hAnsi="Arial" w:cs="Arial"/>
          <w:sz w:val="20"/>
          <w:szCs w:val="20"/>
        </w:rPr>
      </w:pPr>
    </w:p>
    <w:p w:rsidR="00E121DE" w:rsidRDefault="00E121DE" w:rsidP="0046076C">
      <w:pPr>
        <w:widowControl/>
        <w:adjustRightInd/>
        <w:spacing w:line="240" w:lineRule="auto"/>
        <w:ind w:left="539"/>
        <w:textAlignment w:val="auto"/>
        <w:rPr>
          <w:rFonts w:ascii="Arial" w:hAnsi="Arial" w:cs="Arial"/>
          <w:sz w:val="20"/>
          <w:szCs w:val="20"/>
        </w:rPr>
      </w:pPr>
    </w:p>
    <w:p w:rsidR="00E121DE" w:rsidRDefault="00E121DE" w:rsidP="0046076C">
      <w:pPr>
        <w:widowControl/>
        <w:adjustRightInd/>
        <w:spacing w:line="240" w:lineRule="auto"/>
        <w:ind w:left="539"/>
        <w:textAlignment w:val="auto"/>
        <w:rPr>
          <w:rFonts w:ascii="Arial" w:hAnsi="Arial" w:cs="Arial"/>
          <w:sz w:val="20"/>
          <w:szCs w:val="20"/>
        </w:rPr>
      </w:pPr>
    </w:p>
    <w:p w:rsidR="00E121DE" w:rsidRDefault="00E121DE" w:rsidP="0046076C">
      <w:pPr>
        <w:widowControl/>
        <w:adjustRightInd/>
        <w:spacing w:line="240" w:lineRule="auto"/>
        <w:ind w:left="539"/>
        <w:textAlignment w:val="auto"/>
        <w:rPr>
          <w:rFonts w:ascii="Arial" w:hAnsi="Arial" w:cs="Arial"/>
          <w:sz w:val="20"/>
          <w:szCs w:val="20"/>
        </w:rPr>
      </w:pPr>
    </w:p>
    <w:p w:rsidR="00E121DE" w:rsidRDefault="00E121DE" w:rsidP="0046076C">
      <w:pPr>
        <w:widowControl/>
        <w:adjustRightInd/>
        <w:spacing w:line="240" w:lineRule="auto"/>
        <w:ind w:left="539"/>
        <w:textAlignment w:val="auto"/>
        <w:rPr>
          <w:rFonts w:ascii="Arial" w:hAnsi="Arial" w:cs="Arial"/>
          <w:sz w:val="20"/>
          <w:szCs w:val="20"/>
        </w:rPr>
      </w:pPr>
    </w:p>
    <w:p w:rsidR="00E121DE" w:rsidRDefault="00E121DE" w:rsidP="0046076C">
      <w:pPr>
        <w:widowControl/>
        <w:adjustRightInd/>
        <w:spacing w:line="240" w:lineRule="auto"/>
        <w:ind w:left="539"/>
        <w:textAlignment w:val="auto"/>
        <w:rPr>
          <w:rFonts w:ascii="Arial" w:hAnsi="Arial" w:cs="Arial"/>
          <w:sz w:val="20"/>
          <w:szCs w:val="20"/>
        </w:rPr>
      </w:pPr>
    </w:p>
    <w:p w:rsidR="00E121DE" w:rsidRDefault="00E121DE" w:rsidP="0046076C">
      <w:pPr>
        <w:widowControl/>
        <w:adjustRightInd/>
        <w:spacing w:line="240" w:lineRule="auto"/>
        <w:ind w:left="539"/>
        <w:textAlignment w:val="auto"/>
        <w:rPr>
          <w:rFonts w:ascii="Arial" w:hAnsi="Arial" w:cs="Arial"/>
          <w:sz w:val="20"/>
          <w:szCs w:val="20"/>
        </w:rPr>
      </w:pPr>
    </w:p>
    <w:p w:rsidR="00E121DE" w:rsidRDefault="00E121DE" w:rsidP="0046076C">
      <w:pPr>
        <w:widowControl/>
        <w:adjustRightInd/>
        <w:spacing w:line="240" w:lineRule="auto"/>
        <w:ind w:left="539"/>
        <w:textAlignment w:val="auto"/>
        <w:rPr>
          <w:rFonts w:ascii="Arial" w:hAnsi="Arial" w:cs="Arial"/>
          <w:sz w:val="20"/>
          <w:szCs w:val="20"/>
        </w:rPr>
      </w:pPr>
    </w:p>
    <w:p w:rsidR="00E121DE" w:rsidRDefault="00E121DE" w:rsidP="0046076C">
      <w:pPr>
        <w:widowControl/>
        <w:adjustRightInd/>
        <w:spacing w:line="240" w:lineRule="auto"/>
        <w:ind w:left="539"/>
        <w:textAlignment w:val="auto"/>
        <w:rPr>
          <w:rFonts w:ascii="Arial" w:hAnsi="Arial" w:cs="Arial"/>
          <w:sz w:val="20"/>
          <w:szCs w:val="20"/>
        </w:rPr>
      </w:pPr>
    </w:p>
    <w:p w:rsidR="00E121DE" w:rsidRDefault="00E121DE" w:rsidP="0046076C">
      <w:pPr>
        <w:widowControl/>
        <w:adjustRightInd/>
        <w:spacing w:line="240" w:lineRule="auto"/>
        <w:ind w:left="539"/>
        <w:textAlignment w:val="auto"/>
        <w:rPr>
          <w:rFonts w:ascii="Arial" w:hAnsi="Arial" w:cs="Arial"/>
          <w:sz w:val="20"/>
          <w:szCs w:val="20"/>
        </w:rPr>
      </w:pPr>
    </w:p>
    <w:p w:rsidR="00E121DE" w:rsidRDefault="00E121DE" w:rsidP="0046076C">
      <w:pPr>
        <w:widowControl/>
        <w:adjustRightInd/>
        <w:spacing w:line="240" w:lineRule="auto"/>
        <w:ind w:left="539"/>
        <w:textAlignment w:val="auto"/>
        <w:rPr>
          <w:rFonts w:ascii="Arial" w:hAnsi="Arial" w:cs="Arial"/>
          <w:sz w:val="20"/>
          <w:szCs w:val="20"/>
        </w:rPr>
      </w:pPr>
    </w:p>
    <w:p w:rsidR="00E121DE" w:rsidRDefault="00E121DE" w:rsidP="0046076C">
      <w:pPr>
        <w:widowControl/>
        <w:adjustRightInd/>
        <w:spacing w:line="240" w:lineRule="auto"/>
        <w:ind w:left="539"/>
        <w:textAlignment w:val="auto"/>
        <w:rPr>
          <w:rFonts w:ascii="Arial" w:hAnsi="Arial" w:cs="Arial"/>
          <w:sz w:val="20"/>
          <w:szCs w:val="20"/>
        </w:rPr>
      </w:pPr>
    </w:p>
    <w:p w:rsidR="00E121DE" w:rsidRDefault="00E121DE" w:rsidP="0046076C">
      <w:pPr>
        <w:widowControl/>
        <w:adjustRightInd/>
        <w:spacing w:line="240" w:lineRule="auto"/>
        <w:ind w:left="539"/>
        <w:textAlignment w:val="auto"/>
        <w:rPr>
          <w:rFonts w:ascii="Arial" w:hAnsi="Arial" w:cs="Arial"/>
          <w:sz w:val="20"/>
          <w:szCs w:val="20"/>
        </w:rPr>
      </w:pPr>
    </w:p>
    <w:p w:rsidR="00E121DE" w:rsidRDefault="00E121DE" w:rsidP="0046076C">
      <w:pPr>
        <w:widowControl/>
        <w:adjustRightInd/>
        <w:spacing w:line="240" w:lineRule="auto"/>
        <w:ind w:left="539"/>
        <w:textAlignment w:val="auto"/>
        <w:rPr>
          <w:rFonts w:ascii="Arial" w:hAnsi="Arial" w:cs="Arial"/>
          <w:sz w:val="20"/>
          <w:szCs w:val="20"/>
        </w:rPr>
      </w:pPr>
    </w:p>
    <w:p w:rsidR="00E121DE" w:rsidRDefault="00E121DE" w:rsidP="0046076C">
      <w:pPr>
        <w:widowControl/>
        <w:adjustRightInd/>
        <w:spacing w:line="240" w:lineRule="auto"/>
        <w:ind w:left="539"/>
        <w:textAlignment w:val="auto"/>
        <w:rPr>
          <w:rFonts w:ascii="Arial" w:hAnsi="Arial" w:cs="Arial"/>
          <w:sz w:val="20"/>
          <w:szCs w:val="20"/>
        </w:rPr>
      </w:pPr>
    </w:p>
    <w:p w:rsidR="00E121DE" w:rsidRDefault="00E121DE" w:rsidP="0046076C">
      <w:pPr>
        <w:widowControl/>
        <w:adjustRightInd/>
        <w:spacing w:line="240" w:lineRule="auto"/>
        <w:ind w:left="539"/>
        <w:textAlignment w:val="auto"/>
        <w:rPr>
          <w:rFonts w:ascii="Arial" w:hAnsi="Arial" w:cs="Arial"/>
          <w:sz w:val="20"/>
          <w:szCs w:val="20"/>
        </w:rPr>
      </w:pPr>
    </w:p>
    <w:p w:rsidR="00E121DE" w:rsidRPr="00741D8D" w:rsidRDefault="00E121DE" w:rsidP="0046076C">
      <w:pPr>
        <w:widowControl/>
        <w:adjustRightInd/>
        <w:spacing w:line="240" w:lineRule="auto"/>
        <w:ind w:left="539"/>
        <w:textAlignment w:val="auto"/>
        <w:rPr>
          <w:rFonts w:ascii="Arial" w:hAnsi="Arial" w:cs="Arial"/>
          <w:sz w:val="20"/>
          <w:szCs w:val="20"/>
        </w:rPr>
      </w:pPr>
    </w:p>
    <w:p w:rsidR="00B531A3" w:rsidRDefault="00B531A3" w:rsidP="00B531A3">
      <w:pPr>
        <w:ind w:left="56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Pro účely zpracování nabídek dodavatelů odpovídající požadavkům zadavatele zadavatel poskytuje informace v oblasti čerpání pojistného plnění.</w:t>
      </w:r>
    </w:p>
    <w:p w:rsidR="00134AC8" w:rsidRPr="00FD54AB" w:rsidRDefault="00134AC8" w:rsidP="00134AC8">
      <w:pPr>
        <w:ind w:left="56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D54AB">
        <w:rPr>
          <w:rFonts w:ascii="Arial" w:hAnsi="Arial" w:cs="Arial"/>
          <w:b/>
          <w:sz w:val="20"/>
          <w:szCs w:val="20"/>
          <w:u w:val="single"/>
        </w:rPr>
        <w:t>Škody 2007 – 2013</w:t>
      </w:r>
    </w:p>
    <w:p w:rsidR="00134AC8" w:rsidRPr="00FD54AB" w:rsidRDefault="00134AC8" w:rsidP="00134AC8">
      <w:pPr>
        <w:ind w:left="567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5265"/>
      </w:tblGrid>
      <w:tr w:rsidR="00134AC8" w:rsidRPr="00FD54AB" w:rsidTr="007124EB">
        <w:trPr>
          <w:trHeight w:val="5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C8" w:rsidRPr="00FD54AB" w:rsidRDefault="00134AC8" w:rsidP="00712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54AB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C8" w:rsidRPr="00FD54AB" w:rsidRDefault="00134AC8" w:rsidP="00712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54AB">
              <w:rPr>
                <w:rFonts w:ascii="Arial" w:hAnsi="Arial" w:cs="Arial"/>
                <w:b/>
                <w:sz w:val="20"/>
                <w:szCs w:val="20"/>
              </w:rPr>
              <w:t>Výše plnění včetně rezerv Kč</w:t>
            </w:r>
          </w:p>
        </w:tc>
      </w:tr>
      <w:tr w:rsidR="00134AC8" w:rsidRPr="00FD54AB" w:rsidTr="007124EB">
        <w:trPr>
          <w:trHeight w:val="5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C8" w:rsidRPr="00FD54AB" w:rsidRDefault="00134AC8" w:rsidP="0071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4AB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C8" w:rsidRPr="00FD54AB" w:rsidRDefault="00134AC8" w:rsidP="0071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4AB">
              <w:rPr>
                <w:rFonts w:ascii="Arial" w:hAnsi="Arial" w:cs="Arial"/>
                <w:sz w:val="20"/>
                <w:szCs w:val="20"/>
              </w:rPr>
              <w:t>3 000 000</w:t>
            </w:r>
          </w:p>
        </w:tc>
      </w:tr>
      <w:tr w:rsidR="00134AC8" w:rsidRPr="00FD54AB" w:rsidTr="007124EB">
        <w:trPr>
          <w:trHeight w:val="5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C8" w:rsidRPr="00FD54AB" w:rsidRDefault="00134AC8" w:rsidP="0071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4AB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C8" w:rsidRPr="00FD54AB" w:rsidRDefault="00134AC8" w:rsidP="0071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4AB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</w:tr>
      <w:tr w:rsidR="00134AC8" w:rsidRPr="00FD54AB" w:rsidTr="007124EB">
        <w:trPr>
          <w:trHeight w:val="5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C8" w:rsidRPr="00FD54AB" w:rsidRDefault="00134AC8" w:rsidP="0071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4AB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C8" w:rsidRPr="00FD54AB" w:rsidRDefault="00134AC8" w:rsidP="0071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4AB">
              <w:rPr>
                <w:rFonts w:ascii="Arial" w:hAnsi="Arial" w:cs="Arial"/>
                <w:sz w:val="20"/>
                <w:szCs w:val="20"/>
              </w:rPr>
              <w:t>4 077 000</w:t>
            </w:r>
          </w:p>
        </w:tc>
      </w:tr>
      <w:tr w:rsidR="00134AC8" w:rsidRPr="00FD54AB" w:rsidTr="007124EB">
        <w:trPr>
          <w:trHeight w:val="5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C8" w:rsidRPr="00FD54AB" w:rsidRDefault="00134AC8" w:rsidP="0071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4AB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C8" w:rsidRPr="00FD54AB" w:rsidRDefault="00134AC8" w:rsidP="0071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4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34AC8" w:rsidRPr="00FD54AB" w:rsidTr="007124EB">
        <w:trPr>
          <w:trHeight w:val="5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C8" w:rsidRPr="00FD54AB" w:rsidRDefault="00134AC8" w:rsidP="0071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4AB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C8" w:rsidRPr="00FD54AB" w:rsidRDefault="00134AC8" w:rsidP="0071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4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34AC8" w:rsidRPr="00FD54AB" w:rsidTr="007124EB">
        <w:trPr>
          <w:trHeight w:val="5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8" w:rsidRPr="00FD54AB" w:rsidRDefault="00134AC8" w:rsidP="0071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4AB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8" w:rsidRPr="00FD54AB" w:rsidRDefault="00134AC8" w:rsidP="0071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4AB">
              <w:rPr>
                <w:rFonts w:ascii="Arial" w:hAnsi="Arial" w:cs="Arial"/>
                <w:sz w:val="20"/>
                <w:szCs w:val="20"/>
              </w:rPr>
              <w:t>34 455 114</w:t>
            </w:r>
          </w:p>
        </w:tc>
      </w:tr>
      <w:tr w:rsidR="00134AC8" w:rsidRPr="00FD54AB" w:rsidTr="007124EB">
        <w:trPr>
          <w:trHeight w:val="5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8" w:rsidRPr="00FD54AB" w:rsidRDefault="00134AC8" w:rsidP="0071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4AB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8" w:rsidRPr="00FD54AB" w:rsidRDefault="00134AC8" w:rsidP="0071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4AB">
              <w:rPr>
                <w:rFonts w:ascii="Arial" w:hAnsi="Arial" w:cs="Arial"/>
                <w:sz w:val="20"/>
                <w:szCs w:val="20"/>
              </w:rPr>
              <w:t>40 000 000</w:t>
            </w:r>
          </w:p>
        </w:tc>
      </w:tr>
    </w:tbl>
    <w:p w:rsidR="00134AC8" w:rsidRPr="00741D8D" w:rsidRDefault="00134AC8" w:rsidP="00134AC8">
      <w:pPr>
        <w:widowControl/>
        <w:adjustRightInd/>
        <w:spacing w:line="240" w:lineRule="auto"/>
        <w:ind w:left="539"/>
        <w:textAlignment w:val="auto"/>
        <w:rPr>
          <w:rFonts w:ascii="Arial" w:hAnsi="Arial" w:cs="Arial"/>
          <w:sz w:val="20"/>
          <w:szCs w:val="20"/>
        </w:rPr>
      </w:pPr>
    </w:p>
    <w:p w:rsidR="00134AC8" w:rsidRPr="00741D8D" w:rsidRDefault="00134AC8" w:rsidP="00134AC8">
      <w:pPr>
        <w:widowControl/>
        <w:adjustRightInd/>
        <w:spacing w:line="240" w:lineRule="auto"/>
        <w:ind w:left="539"/>
        <w:textAlignment w:val="auto"/>
        <w:rPr>
          <w:rFonts w:ascii="Arial" w:hAnsi="Arial" w:cs="Arial"/>
          <w:sz w:val="20"/>
          <w:szCs w:val="20"/>
        </w:rPr>
      </w:pPr>
    </w:p>
    <w:p w:rsidR="0046076C" w:rsidRDefault="004B314F" w:rsidP="004B314F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Největší škody:</w:t>
      </w:r>
    </w:p>
    <w:p w:rsidR="004B314F" w:rsidRPr="005D25B0" w:rsidRDefault="00896B35" w:rsidP="005D25B0">
      <w:pPr>
        <w:pStyle w:val="Odstavecseseznamem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34 455 114</w:t>
      </w:r>
      <w:r w:rsidR="005D25B0" w:rsidRPr="005D25B0">
        <w:rPr>
          <w:rFonts w:ascii="Arial" w:hAnsi="Arial" w:cs="Arial"/>
          <w:sz w:val="20"/>
          <w:szCs w:val="20"/>
        </w:rPr>
        <w:t xml:space="preserve"> Kč, náklady na dekontaminaci půdy v důsledku </w:t>
      </w:r>
      <w:proofErr w:type="spellStart"/>
      <w:r w:rsidR="005D25B0" w:rsidRPr="005D25B0">
        <w:rPr>
          <w:rFonts w:ascii="Arial" w:hAnsi="Arial" w:cs="Arial"/>
          <w:sz w:val="20"/>
          <w:szCs w:val="20"/>
        </w:rPr>
        <w:t>navrtávky</w:t>
      </w:r>
      <w:proofErr w:type="spellEnd"/>
      <w:r w:rsidR="005D25B0" w:rsidRPr="005D25B0">
        <w:rPr>
          <w:rFonts w:ascii="Arial" w:hAnsi="Arial" w:cs="Arial"/>
          <w:sz w:val="20"/>
          <w:szCs w:val="20"/>
        </w:rPr>
        <w:t xml:space="preserve"> produktovodu na trase Litvínov - Roudnice.</w:t>
      </w:r>
      <w:r>
        <w:rPr>
          <w:rFonts w:ascii="Arial" w:hAnsi="Arial" w:cs="Arial"/>
          <w:sz w:val="20"/>
          <w:szCs w:val="20"/>
        </w:rPr>
        <w:t xml:space="preserve"> PU z</w:t>
      </w:r>
      <w:r w:rsidR="005D25B0">
        <w:rPr>
          <w:rFonts w:ascii="Arial" w:hAnsi="Arial" w:cs="Arial"/>
          <w:sz w:val="20"/>
          <w:szCs w:val="20"/>
        </w:rPr>
        <w:t xml:space="preserve"> 2012.</w:t>
      </w:r>
    </w:p>
    <w:p w:rsidR="005D25B0" w:rsidRPr="005D25B0" w:rsidRDefault="005D25B0" w:rsidP="005D25B0">
      <w:pPr>
        <w:pStyle w:val="Odstavecseseznamem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Náklady na dekontaminaci půdy v důsledku </w:t>
      </w:r>
      <w:proofErr w:type="spellStart"/>
      <w:r>
        <w:rPr>
          <w:rFonts w:ascii="Arial" w:hAnsi="Arial" w:cs="Arial"/>
          <w:sz w:val="20"/>
          <w:szCs w:val="20"/>
        </w:rPr>
        <w:t>navrtávky</w:t>
      </w:r>
      <w:proofErr w:type="spellEnd"/>
      <w:r>
        <w:rPr>
          <w:rFonts w:ascii="Arial" w:hAnsi="Arial" w:cs="Arial"/>
          <w:sz w:val="20"/>
          <w:szCs w:val="20"/>
        </w:rPr>
        <w:t xml:space="preserve"> produktovodu na trase Potěhy – Šlapanov, předpokládaná</w:t>
      </w:r>
      <w:r w:rsidR="00896B35">
        <w:rPr>
          <w:rFonts w:ascii="Arial" w:hAnsi="Arial" w:cs="Arial"/>
          <w:sz w:val="20"/>
          <w:szCs w:val="20"/>
        </w:rPr>
        <w:t xml:space="preserve"> výše škody 40 000 000 Kč, PU z</w:t>
      </w:r>
      <w:r>
        <w:rPr>
          <w:rFonts w:ascii="Arial" w:hAnsi="Arial" w:cs="Arial"/>
          <w:sz w:val="20"/>
          <w:szCs w:val="20"/>
        </w:rPr>
        <w:t xml:space="preserve"> 2014.</w:t>
      </w:r>
    </w:p>
    <w:p w:rsidR="004B314F" w:rsidRPr="004B314F" w:rsidRDefault="004B314F" w:rsidP="004B314F">
      <w:pPr>
        <w:rPr>
          <w:rFonts w:ascii="Arial" w:hAnsi="Arial" w:cs="Arial"/>
          <w:sz w:val="20"/>
          <w:szCs w:val="20"/>
        </w:rPr>
      </w:pPr>
    </w:p>
    <w:sectPr w:rsidR="004B314F" w:rsidRPr="004B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6647E"/>
    <w:multiLevelType w:val="hybridMultilevel"/>
    <w:tmpl w:val="B4F0FFB2"/>
    <w:lvl w:ilvl="0" w:tplc="066463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4C35F1"/>
    <w:multiLevelType w:val="multilevel"/>
    <w:tmpl w:val="6C52EA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FFFFFF"/>
        <w:sz w:val="16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1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927"/>
        </w:tabs>
        <w:ind w:left="927" w:hanging="567"/>
      </w:pPr>
      <w:rPr>
        <w:rFonts w:ascii="Arial" w:hAnsi="Arial" w:hint="default"/>
        <w:b w:val="0"/>
        <w:i w:val="0"/>
        <w:sz w:val="16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16"/>
        <w:szCs w:val="16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</w:abstractNum>
  <w:abstractNum w:abstractNumId="2">
    <w:nsid w:val="331E4DD9"/>
    <w:multiLevelType w:val="hybridMultilevel"/>
    <w:tmpl w:val="028E589E"/>
    <w:lvl w:ilvl="0" w:tplc="0DB4F69A">
      <w:start w:val="170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A7564CB"/>
    <w:multiLevelType w:val="hybridMultilevel"/>
    <w:tmpl w:val="0DB05A7E"/>
    <w:lvl w:ilvl="0" w:tplc="7E26126C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4">
    <w:nsid w:val="3E132B97"/>
    <w:multiLevelType w:val="hybridMultilevel"/>
    <w:tmpl w:val="FE5CC2D2"/>
    <w:lvl w:ilvl="0" w:tplc="040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5747740F"/>
    <w:multiLevelType w:val="hybridMultilevel"/>
    <w:tmpl w:val="A5D2ECB0"/>
    <w:lvl w:ilvl="0" w:tplc="69322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F3171E"/>
    <w:multiLevelType w:val="hybridMultilevel"/>
    <w:tmpl w:val="99A85A8C"/>
    <w:lvl w:ilvl="0" w:tplc="3ADED742">
      <w:start w:val="20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61276285"/>
    <w:multiLevelType w:val="multilevel"/>
    <w:tmpl w:val="A8A8E932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8">
    <w:nsid w:val="61D85D61"/>
    <w:multiLevelType w:val="hybridMultilevel"/>
    <w:tmpl w:val="8AF45088"/>
    <w:lvl w:ilvl="0" w:tplc="5D34FD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3F60DE4"/>
    <w:multiLevelType w:val="hybridMultilevel"/>
    <w:tmpl w:val="37B23970"/>
    <w:lvl w:ilvl="0" w:tplc="0405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0">
    <w:nsid w:val="6E7F3CD2"/>
    <w:multiLevelType w:val="hybridMultilevel"/>
    <w:tmpl w:val="FF7CBD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893AA2"/>
    <w:multiLevelType w:val="hybridMultilevel"/>
    <w:tmpl w:val="8AF45088"/>
    <w:lvl w:ilvl="0" w:tplc="5D34FD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613075D"/>
    <w:multiLevelType w:val="hybridMultilevel"/>
    <w:tmpl w:val="9EA81F4A"/>
    <w:lvl w:ilvl="0" w:tplc="D862BD5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ABA090F"/>
    <w:multiLevelType w:val="hybridMultilevel"/>
    <w:tmpl w:val="4D7E685E"/>
    <w:lvl w:ilvl="0" w:tplc="5FD846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3"/>
  </w:num>
  <w:num w:numId="5">
    <w:abstractNumId w:val="7"/>
  </w:num>
  <w:num w:numId="6">
    <w:abstractNumId w:val="3"/>
  </w:num>
  <w:num w:numId="7">
    <w:abstractNumId w:val="11"/>
  </w:num>
  <w:num w:numId="8">
    <w:abstractNumId w:val="8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1" w:cryptProviderType="rsaFull" w:cryptAlgorithmClass="hash" w:cryptAlgorithmType="typeAny" w:cryptAlgorithmSid="4" w:cryptSpinCount="100000" w:hash="lfyP5UVnbA8TI9n+N02Dl8OEjlA=" w:salt="RC4TBHJEYzdJM61htOOSXA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91"/>
    <w:rsid w:val="00007AF2"/>
    <w:rsid w:val="00014A9F"/>
    <w:rsid w:val="000310FA"/>
    <w:rsid w:val="00033D23"/>
    <w:rsid w:val="000610BC"/>
    <w:rsid w:val="00063199"/>
    <w:rsid w:val="00066A0F"/>
    <w:rsid w:val="000A2A5F"/>
    <w:rsid w:val="000B75ED"/>
    <w:rsid w:val="000D0D4C"/>
    <w:rsid w:val="000E72F6"/>
    <w:rsid w:val="000F0107"/>
    <w:rsid w:val="0012240F"/>
    <w:rsid w:val="00134AC8"/>
    <w:rsid w:val="00153648"/>
    <w:rsid w:val="001567D3"/>
    <w:rsid w:val="001A0C2D"/>
    <w:rsid w:val="001A15A1"/>
    <w:rsid w:val="001C6842"/>
    <w:rsid w:val="00286697"/>
    <w:rsid w:val="00295257"/>
    <w:rsid w:val="002A2568"/>
    <w:rsid w:val="002A5286"/>
    <w:rsid w:val="002B090B"/>
    <w:rsid w:val="002B69E3"/>
    <w:rsid w:val="002C4E33"/>
    <w:rsid w:val="002D4647"/>
    <w:rsid w:val="002E3C1E"/>
    <w:rsid w:val="0030269A"/>
    <w:rsid w:val="00312321"/>
    <w:rsid w:val="0033508D"/>
    <w:rsid w:val="003712BB"/>
    <w:rsid w:val="003758FB"/>
    <w:rsid w:val="00377357"/>
    <w:rsid w:val="00382BC2"/>
    <w:rsid w:val="00396C3D"/>
    <w:rsid w:val="003A0E16"/>
    <w:rsid w:val="003B117C"/>
    <w:rsid w:val="003B1B81"/>
    <w:rsid w:val="003B22C4"/>
    <w:rsid w:val="003B51E9"/>
    <w:rsid w:val="003C6027"/>
    <w:rsid w:val="003D1FE5"/>
    <w:rsid w:val="003D25B0"/>
    <w:rsid w:val="003D4E91"/>
    <w:rsid w:val="003D56B3"/>
    <w:rsid w:val="003E3FEF"/>
    <w:rsid w:val="003E7A17"/>
    <w:rsid w:val="003F3BA8"/>
    <w:rsid w:val="004132D1"/>
    <w:rsid w:val="00415757"/>
    <w:rsid w:val="0042515A"/>
    <w:rsid w:val="00435077"/>
    <w:rsid w:val="0046076C"/>
    <w:rsid w:val="004642A4"/>
    <w:rsid w:val="004B314F"/>
    <w:rsid w:val="004B7981"/>
    <w:rsid w:val="00511611"/>
    <w:rsid w:val="0051444D"/>
    <w:rsid w:val="005201A2"/>
    <w:rsid w:val="005235F6"/>
    <w:rsid w:val="0052788A"/>
    <w:rsid w:val="0053322A"/>
    <w:rsid w:val="00554BC7"/>
    <w:rsid w:val="00560CF5"/>
    <w:rsid w:val="005643C8"/>
    <w:rsid w:val="005647A0"/>
    <w:rsid w:val="00567B03"/>
    <w:rsid w:val="005742C6"/>
    <w:rsid w:val="005C3184"/>
    <w:rsid w:val="005D25B0"/>
    <w:rsid w:val="005D7122"/>
    <w:rsid w:val="005F3645"/>
    <w:rsid w:val="00656117"/>
    <w:rsid w:val="006579F1"/>
    <w:rsid w:val="0066211F"/>
    <w:rsid w:val="00662615"/>
    <w:rsid w:val="006877A9"/>
    <w:rsid w:val="0069737F"/>
    <w:rsid w:val="006A06E7"/>
    <w:rsid w:val="006B43DB"/>
    <w:rsid w:val="006C7397"/>
    <w:rsid w:val="006E4463"/>
    <w:rsid w:val="006F4280"/>
    <w:rsid w:val="007050AD"/>
    <w:rsid w:val="007124EB"/>
    <w:rsid w:val="007152F6"/>
    <w:rsid w:val="00741D8D"/>
    <w:rsid w:val="007517B9"/>
    <w:rsid w:val="00765DD6"/>
    <w:rsid w:val="0077023C"/>
    <w:rsid w:val="00770B67"/>
    <w:rsid w:val="00771D1C"/>
    <w:rsid w:val="00782372"/>
    <w:rsid w:val="00792A01"/>
    <w:rsid w:val="007D1146"/>
    <w:rsid w:val="007D2157"/>
    <w:rsid w:val="007D355F"/>
    <w:rsid w:val="007E69B8"/>
    <w:rsid w:val="007F64F4"/>
    <w:rsid w:val="007F6AFE"/>
    <w:rsid w:val="007F7C73"/>
    <w:rsid w:val="008468CB"/>
    <w:rsid w:val="00852FDA"/>
    <w:rsid w:val="00874A27"/>
    <w:rsid w:val="00887F67"/>
    <w:rsid w:val="00896B35"/>
    <w:rsid w:val="008B6BBF"/>
    <w:rsid w:val="008B7921"/>
    <w:rsid w:val="008B7BC0"/>
    <w:rsid w:val="008C0619"/>
    <w:rsid w:val="008C0928"/>
    <w:rsid w:val="008E3960"/>
    <w:rsid w:val="008F364F"/>
    <w:rsid w:val="00916F7D"/>
    <w:rsid w:val="0098005A"/>
    <w:rsid w:val="0098114F"/>
    <w:rsid w:val="009C07CE"/>
    <w:rsid w:val="009E10CD"/>
    <w:rsid w:val="009E4566"/>
    <w:rsid w:val="00A1324C"/>
    <w:rsid w:val="00A1645B"/>
    <w:rsid w:val="00A403D9"/>
    <w:rsid w:val="00A43D72"/>
    <w:rsid w:val="00A91A4B"/>
    <w:rsid w:val="00AD361F"/>
    <w:rsid w:val="00AD4878"/>
    <w:rsid w:val="00AE13C7"/>
    <w:rsid w:val="00AE6FA1"/>
    <w:rsid w:val="00B054CA"/>
    <w:rsid w:val="00B07A52"/>
    <w:rsid w:val="00B125C5"/>
    <w:rsid w:val="00B129E1"/>
    <w:rsid w:val="00B3118A"/>
    <w:rsid w:val="00B448BF"/>
    <w:rsid w:val="00B46D44"/>
    <w:rsid w:val="00B531A3"/>
    <w:rsid w:val="00B5533A"/>
    <w:rsid w:val="00B56DD8"/>
    <w:rsid w:val="00B80467"/>
    <w:rsid w:val="00B8165C"/>
    <w:rsid w:val="00B83C80"/>
    <w:rsid w:val="00B87CFD"/>
    <w:rsid w:val="00BB0870"/>
    <w:rsid w:val="00BB56DB"/>
    <w:rsid w:val="00BD28B3"/>
    <w:rsid w:val="00BD423C"/>
    <w:rsid w:val="00C27661"/>
    <w:rsid w:val="00C30535"/>
    <w:rsid w:val="00C60AE9"/>
    <w:rsid w:val="00C860E2"/>
    <w:rsid w:val="00CD56A5"/>
    <w:rsid w:val="00D04783"/>
    <w:rsid w:val="00D14CA9"/>
    <w:rsid w:val="00D253B6"/>
    <w:rsid w:val="00D51B25"/>
    <w:rsid w:val="00D534C2"/>
    <w:rsid w:val="00D61EA1"/>
    <w:rsid w:val="00D7710B"/>
    <w:rsid w:val="00D77B2E"/>
    <w:rsid w:val="00D96758"/>
    <w:rsid w:val="00DA2E2E"/>
    <w:rsid w:val="00DA3866"/>
    <w:rsid w:val="00DC0ECB"/>
    <w:rsid w:val="00DD346F"/>
    <w:rsid w:val="00DD4C00"/>
    <w:rsid w:val="00DD696A"/>
    <w:rsid w:val="00DF030F"/>
    <w:rsid w:val="00E121DE"/>
    <w:rsid w:val="00E12AAD"/>
    <w:rsid w:val="00E12CC2"/>
    <w:rsid w:val="00E16533"/>
    <w:rsid w:val="00E17B65"/>
    <w:rsid w:val="00E51DFC"/>
    <w:rsid w:val="00E80256"/>
    <w:rsid w:val="00EA7B5F"/>
    <w:rsid w:val="00EB7A79"/>
    <w:rsid w:val="00EE28E9"/>
    <w:rsid w:val="00EE75FD"/>
    <w:rsid w:val="00EF7241"/>
    <w:rsid w:val="00F03455"/>
    <w:rsid w:val="00F129F5"/>
    <w:rsid w:val="00F17726"/>
    <w:rsid w:val="00F66417"/>
    <w:rsid w:val="00F7521A"/>
    <w:rsid w:val="00F7533D"/>
    <w:rsid w:val="00F8739C"/>
    <w:rsid w:val="00F949A0"/>
    <w:rsid w:val="00FD1FE9"/>
    <w:rsid w:val="00FD54AB"/>
    <w:rsid w:val="00FF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4A2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rsid w:val="008E3960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CharChar">
    <w:name w:val="Char Char"/>
    <w:basedOn w:val="Normln"/>
    <w:rsid w:val="008E3960"/>
    <w:pPr>
      <w:widowControl/>
      <w:adjustRightInd/>
      <w:spacing w:after="160" w:line="240" w:lineRule="exact"/>
      <w:textAlignment w:val="auto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8E3960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B448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29E1"/>
    <w:pPr>
      <w:widowControl/>
      <w:adjustRightInd/>
      <w:spacing w:line="240" w:lineRule="auto"/>
      <w:ind w:left="720"/>
      <w:jc w:val="left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A7B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7B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7B5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7B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7B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4A2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rsid w:val="008E3960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CharChar">
    <w:name w:val="Char Char"/>
    <w:basedOn w:val="Normln"/>
    <w:rsid w:val="008E3960"/>
    <w:pPr>
      <w:widowControl/>
      <w:adjustRightInd/>
      <w:spacing w:after="160" w:line="240" w:lineRule="exact"/>
      <w:textAlignment w:val="auto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8E3960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B448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29E1"/>
    <w:pPr>
      <w:widowControl/>
      <w:adjustRightInd/>
      <w:spacing w:line="240" w:lineRule="auto"/>
      <w:ind w:left="720"/>
      <w:jc w:val="left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A7B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7B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7B5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7B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7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6D23-896E-4640-9756-C321E4B1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1279</Words>
  <Characters>7551</Characters>
  <Application>Microsoft Office Word</Application>
  <DocSecurity>8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RESPECT,a.s.</Company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PC200</dc:creator>
  <cp:lastModifiedBy>Hošková Lenka</cp:lastModifiedBy>
  <cp:revision>13</cp:revision>
  <cp:lastPrinted>2014-05-27T13:59:00Z</cp:lastPrinted>
  <dcterms:created xsi:type="dcterms:W3CDTF">2014-05-27T14:02:00Z</dcterms:created>
  <dcterms:modified xsi:type="dcterms:W3CDTF">2014-06-05T11:58:00Z</dcterms:modified>
</cp:coreProperties>
</file>