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82A" w14:textId="2B1C4E39" w:rsidR="000F2FA0" w:rsidRPr="006E3C72" w:rsidRDefault="006E3C72" w:rsidP="004625EF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CD1E4C">
        <w:rPr>
          <w:rFonts w:cs="Arial"/>
          <w:sz w:val="32"/>
          <w:szCs w:val="32"/>
        </w:rPr>
        <w:t xml:space="preserve"> </w:t>
      </w:r>
      <w:r w:rsidRPr="006E3C72">
        <w:rPr>
          <w:rFonts w:cs="Arial"/>
          <w:sz w:val="32"/>
          <w:szCs w:val="32"/>
        </w:rPr>
        <w:t>2</w:t>
      </w:r>
      <w:r w:rsidR="00F9699E" w:rsidRPr="006E3C72">
        <w:rPr>
          <w:rFonts w:cs="Arial"/>
          <w:sz w:val="32"/>
          <w:szCs w:val="32"/>
        </w:rPr>
        <w:t xml:space="preserve"> – </w:t>
      </w:r>
      <w:r w:rsidRPr="006E3C72">
        <w:rPr>
          <w:rFonts w:cs="Arial"/>
          <w:sz w:val="32"/>
          <w:szCs w:val="32"/>
        </w:rPr>
        <w:t>List služby P03 Provoz Aplikací – standardní činnosti</w:t>
      </w:r>
    </w:p>
    <w:p w14:paraId="2EF49289" w14:textId="77777777" w:rsidR="00132FFC" w:rsidRPr="006E3C72" w:rsidRDefault="00132FFC">
      <w:pPr>
        <w:rPr>
          <w:rFonts w:cs="Arial"/>
          <w:b/>
        </w:rPr>
      </w:pP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bookmarkStart w:id="0" w:name="_Hlk527215992"/>
            <w:r w:rsidRPr="006E3C72">
              <w:rPr>
                <w:rFonts w:cs="Arial"/>
              </w:rPr>
              <w:t>Provoz</w:t>
            </w:r>
            <w:bookmarkEnd w:id="0"/>
            <w:r w:rsidRPr="006E3C72">
              <w:rPr>
                <w:rFonts w:cs="Arial"/>
              </w:rPr>
              <w:t xml:space="preserve"> Aplikací – standardní 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6E3C72" w:rsidRPr="006E3C72" w14:paraId="2B31A3FE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AA0E5E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1EF5EF5D" w14:textId="669E2922" w:rsidR="00D061D9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běžných </w:t>
            </w:r>
            <w:r w:rsidR="00AF0A36">
              <w:rPr>
                <w:rFonts w:ascii="Arial" w:hAnsi="Arial" w:cs="Arial"/>
              </w:rPr>
              <w:t xml:space="preserve">opakujících se </w:t>
            </w:r>
            <w:r>
              <w:rPr>
                <w:rFonts w:ascii="Arial" w:hAnsi="Arial" w:cs="Arial"/>
              </w:rPr>
              <w:t>činností,</w:t>
            </w:r>
            <w:r w:rsidR="00AF0A3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které byly zadány v</w:t>
            </w:r>
            <w:r w:rsidR="009D10F9">
              <w:rPr>
                <w:rFonts w:ascii="Arial" w:hAnsi="Arial" w:cs="Arial"/>
              </w:rPr>
              <w:t> Objednatelem do</w:t>
            </w:r>
            <w:r>
              <w:rPr>
                <w:rFonts w:ascii="Arial" w:hAnsi="Arial" w:cs="Arial"/>
              </w:rPr>
              <w:t xml:space="preserve"> HelpDesk</w:t>
            </w:r>
            <w:r w:rsidR="009D10F9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 Objednatele, </w:t>
            </w:r>
          </w:p>
          <w:p w14:paraId="2305A903" w14:textId="21467A7B" w:rsidR="006E3C72" w:rsidRPr="00826BC8" w:rsidRDefault="006E3C72" w:rsidP="00826BC8">
            <w:pPr>
              <w:spacing w:before="40" w:after="40" w:line="254" w:lineRule="auto"/>
              <w:ind w:left="405"/>
              <w:contextualSpacing/>
              <w:jc w:val="both"/>
              <w:rPr>
                <w:rFonts w:cs="Arial"/>
              </w:rPr>
            </w:pPr>
          </w:p>
        </w:tc>
      </w:tr>
      <w:tr w:rsidR="006E3C72" w:rsidRPr="006E3C72" w14:paraId="0311923E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9F0714" w14:textId="237C58CE" w:rsidR="006E3C72" w:rsidRPr="006E3C72" w:rsidRDefault="008D4F21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Standar</w:t>
            </w:r>
            <w:r w:rsidR="00900962">
              <w:rPr>
                <w:rFonts w:cs="Arial"/>
              </w:rPr>
              <w:t>d</w:t>
            </w:r>
            <w:r>
              <w:rPr>
                <w:rFonts w:cs="Arial"/>
              </w:rPr>
              <w:t>ní</w:t>
            </w:r>
            <w:r w:rsidRPr="006E3C72">
              <w:rPr>
                <w:rFonts w:cs="Arial"/>
              </w:rPr>
              <w:t xml:space="preserve"> </w:t>
            </w:r>
            <w:r w:rsidR="006E3C72" w:rsidRPr="006E3C72">
              <w:rPr>
                <w:rFonts w:cs="Arial"/>
              </w:rPr>
              <w:t>činnosti specifikované v sekci „Služba zahrnuje“ jsou vykonávány pro následující Aplikace:</w:t>
            </w:r>
          </w:p>
          <w:p w14:paraId="7FDEA001" w14:textId="77777777" w:rsidR="00A84256" w:rsidRPr="005D0C33" w:rsidRDefault="00A84256" w:rsidP="00A8425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Aplikace pro správu čipových karet</w:t>
            </w:r>
          </w:p>
          <w:p w14:paraId="1AAD3B1B" w14:textId="77777777" w:rsidR="00A84256" w:rsidRPr="005D0C33" w:rsidRDefault="00A84256" w:rsidP="00A8425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Portál dopravce</w:t>
            </w:r>
          </w:p>
          <w:p w14:paraId="02C12E4A" w14:textId="77777777" w:rsidR="00A84256" w:rsidRPr="005D0C33" w:rsidRDefault="00A84256" w:rsidP="00A8425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5D0C33">
              <w:rPr>
                <w:rFonts w:ascii="Arial" w:hAnsi="Arial" w:cs="Arial"/>
              </w:rPr>
              <w:t>TruckRegister</w:t>
            </w:r>
            <w:proofErr w:type="spellEnd"/>
          </w:p>
          <w:p w14:paraId="48197831" w14:textId="77777777" w:rsidR="00A84256" w:rsidRPr="005D0C33" w:rsidRDefault="00A84256" w:rsidP="00A8425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Emisní protokoly</w:t>
            </w:r>
          </w:p>
          <w:p w14:paraId="1424C932" w14:textId="77777777" w:rsidR="00A84256" w:rsidRPr="005D0C33" w:rsidRDefault="00A84256" w:rsidP="00A8425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5D0C33">
              <w:rPr>
                <w:rFonts w:ascii="Arial" w:hAnsi="Arial" w:cs="Arial"/>
              </w:rPr>
              <w:t>Bioredislokace</w:t>
            </w:r>
            <w:proofErr w:type="spellEnd"/>
          </w:p>
          <w:p w14:paraId="62474207" w14:textId="77777777" w:rsidR="00A84256" w:rsidRPr="005D0C33" w:rsidRDefault="00A84256" w:rsidP="00A8425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SSHR</w:t>
            </w:r>
          </w:p>
          <w:p w14:paraId="62BCEF97" w14:textId="77777777" w:rsidR="00A84256" w:rsidRPr="005D0C33" w:rsidRDefault="00A84256" w:rsidP="00A8425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 xml:space="preserve">Správa certifikátů pro EMCS </w:t>
            </w:r>
          </w:p>
          <w:p w14:paraId="05406706" w14:textId="77777777" w:rsidR="00A84256" w:rsidRPr="005D0C33" w:rsidRDefault="00A84256" w:rsidP="00A84256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Webové služby / API rozhraní</w:t>
            </w:r>
          </w:p>
          <w:p w14:paraId="12BD0BA0" w14:textId="77777777" w:rsidR="00A84256" w:rsidRPr="005D0C33" w:rsidRDefault="00A84256" w:rsidP="00A84256">
            <w:pPr>
              <w:pStyle w:val="Odstavecseseznamem"/>
              <w:numPr>
                <w:ilvl w:val="0"/>
                <w:numId w:val="6"/>
              </w:numPr>
              <w:spacing w:before="40" w:after="40"/>
              <w:jc w:val="both"/>
              <w:rPr>
                <w:rFonts w:ascii="Arial" w:hAnsi="Arial" w:cs="Arial"/>
                <w:lang w:val="en-US"/>
              </w:rPr>
            </w:pPr>
            <w:r w:rsidRPr="005D0C33">
              <w:rPr>
                <w:rFonts w:ascii="Arial" w:hAnsi="Arial" w:cs="Arial"/>
              </w:rPr>
              <w:t>Windows služby</w:t>
            </w:r>
          </w:p>
          <w:p w14:paraId="6448FD39" w14:textId="77777777" w:rsidR="00D061D9" w:rsidRDefault="00D061D9">
            <w:pPr>
              <w:spacing w:before="40" w:after="40"/>
              <w:jc w:val="both"/>
              <w:rPr>
                <w:rFonts w:cs="Arial"/>
              </w:rPr>
            </w:pPr>
          </w:p>
          <w:p w14:paraId="6ADB8887" w14:textId="75F0C03E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Aplikace a jejich komponenty jsou definovány v příloze </w:t>
            </w:r>
            <w:r w:rsidR="00C45FCB">
              <w:rPr>
                <w:rFonts w:cs="Arial"/>
              </w:rPr>
              <w:t xml:space="preserve">č. </w:t>
            </w:r>
            <w:r w:rsidRPr="006E3C72">
              <w:rPr>
                <w:rFonts w:cs="Arial"/>
              </w:rPr>
              <w:t>3</w:t>
            </w:r>
            <w:r w:rsidR="00C45FCB">
              <w:rPr>
                <w:rFonts w:cs="Arial"/>
              </w:rPr>
              <w:t xml:space="preserve"> Smlouvy o poskytování služeb</w:t>
            </w:r>
            <w:r w:rsidR="00C45FCB" w:rsidRPr="00C45FCB">
              <w:rPr>
                <w:rFonts w:cs="Arial"/>
              </w:rPr>
              <w:t xml:space="preserve">                                                                                         podpory, údržby a rozvoje Aplikací na platformě .NET</w:t>
            </w:r>
            <w:r w:rsidRPr="006E3C72">
              <w:rPr>
                <w:rFonts w:cs="Arial"/>
              </w:rPr>
              <w:t xml:space="preserve"> – Katalog Aplikací této Smlouvy.</w:t>
            </w:r>
          </w:p>
        </w:tc>
      </w:tr>
      <w:tr w:rsidR="006E3C72" w:rsidRPr="006E3C72" w14:paraId="26050387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C4572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zahrnuje minimálně následující aktivity:</w:t>
            </w:r>
          </w:p>
          <w:p w14:paraId="41509CC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4616F83" w14:textId="77777777" w:rsidR="00AD46F9" w:rsidRPr="00AD46F9" w:rsidRDefault="00AD46F9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správa číselníků (doplnění a oprava dat),</w:t>
            </w:r>
          </w:p>
          <w:p w14:paraId="3EE9D4E1" w14:textId="3D107A99" w:rsidR="32E1D637" w:rsidRDefault="00097E33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32E1D637" w:rsidRPr="00F9598C">
              <w:rPr>
                <w:rFonts w:ascii="Arial" w:hAnsi="Arial" w:cs="Arial"/>
              </w:rPr>
              <w:t>nstalace bezpečnostních záplat</w:t>
            </w:r>
            <w:r>
              <w:rPr>
                <w:rFonts w:ascii="Arial" w:hAnsi="Arial" w:cs="Arial"/>
              </w:rPr>
              <w:t>,</w:t>
            </w:r>
          </w:p>
          <w:p w14:paraId="3AA84363" w14:textId="77777777" w:rsidR="0005145A" w:rsidRPr="00C4207C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provedení restartu nebo resetu rozhraní, služeb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jobů</w:t>
            </w:r>
            <w:proofErr w:type="spellEnd"/>
            <w:r w:rsidRPr="00C4207C">
              <w:rPr>
                <w:rFonts w:ascii="Arial" w:hAnsi="Arial" w:cs="Arial"/>
              </w:rPr>
              <w:t xml:space="preserve"> nebo dávkových úloh,</w:t>
            </w:r>
            <w:r>
              <w:rPr>
                <w:rFonts w:ascii="Arial" w:hAnsi="Arial" w:cs="Arial"/>
              </w:rPr>
              <w:t xml:space="preserve"> </w:t>
            </w:r>
          </w:p>
          <w:p w14:paraId="565A4C67" w14:textId="77777777" w:rsidR="0005145A" w:rsidRPr="00C4207C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správa uživatelských účtů</w:t>
            </w:r>
            <w:r>
              <w:rPr>
                <w:rFonts w:ascii="Arial" w:hAnsi="Arial" w:cs="Arial"/>
              </w:rPr>
              <w:t xml:space="preserve"> a oprávnění</w:t>
            </w:r>
            <w:r w:rsidRPr="00C4207C">
              <w:rPr>
                <w:rFonts w:ascii="Arial" w:hAnsi="Arial" w:cs="Arial"/>
              </w:rPr>
              <w:t>,</w:t>
            </w:r>
          </w:p>
          <w:p w14:paraId="51EA2A03" w14:textId="77777777" w:rsidR="0005145A" w:rsidRPr="00C4207C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oprava dat aplikace</w:t>
            </w:r>
            <w:r>
              <w:rPr>
                <w:rFonts w:ascii="Arial" w:hAnsi="Arial" w:cs="Arial"/>
              </w:rPr>
              <w:t xml:space="preserve"> (na vyžádání a pouze po souhlasu Objednatele)</w:t>
            </w:r>
            <w:r w:rsidRPr="00C4207C">
              <w:rPr>
                <w:rFonts w:ascii="Arial" w:hAnsi="Arial" w:cs="Arial"/>
              </w:rPr>
              <w:t>,</w:t>
            </w:r>
          </w:p>
          <w:p w14:paraId="1F5A868A" w14:textId="77777777" w:rsidR="0005145A" w:rsidRPr="00C4207C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aktualizace provozní</w:t>
            </w:r>
            <w:r>
              <w:rPr>
                <w:rFonts w:ascii="Arial" w:hAnsi="Arial" w:cs="Arial"/>
              </w:rPr>
              <w:t>, technické</w:t>
            </w:r>
            <w:r w:rsidRPr="00C4207C">
              <w:rPr>
                <w:rFonts w:ascii="Arial" w:hAnsi="Arial" w:cs="Arial"/>
              </w:rPr>
              <w:t xml:space="preserve"> a uživatelské dokumentace,</w:t>
            </w:r>
          </w:p>
          <w:p w14:paraId="2E4139F0" w14:textId="4D21F083" w:rsidR="006E013C" w:rsidRPr="006E013C" w:rsidRDefault="0005145A" w:rsidP="006E013C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provádění</w:t>
            </w:r>
            <w:r w:rsidRPr="00C4207C">
              <w:rPr>
                <w:rFonts w:ascii="Arial" w:hAnsi="Arial" w:cs="Arial"/>
              </w:rPr>
              <w:t xml:space="preserve"> kvalifikovaných odhadů při naceňování Požadavků</w:t>
            </w:r>
            <w:r w:rsidR="00EB3A96">
              <w:rPr>
                <w:rFonts w:ascii="Arial" w:hAnsi="Arial" w:cs="Arial"/>
              </w:rPr>
              <w:t>,</w:t>
            </w:r>
          </w:p>
          <w:p w14:paraId="7F5D558F" w14:textId="0370D41A" w:rsidR="0005145A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6F1221">
              <w:rPr>
                <w:rFonts w:ascii="Arial" w:hAnsi="Arial" w:cs="Arial"/>
              </w:rPr>
              <w:t>správa certifikátů</w:t>
            </w:r>
            <w:r>
              <w:rPr>
                <w:rFonts w:ascii="Arial" w:hAnsi="Arial" w:cs="Arial"/>
              </w:rPr>
              <w:t>, potřebných pro bezproblémový chod Aplikace a zajištění všech potřebných datových integrací (</w:t>
            </w:r>
            <w:r w:rsidRPr="006F1221">
              <w:rPr>
                <w:rFonts w:ascii="Arial" w:hAnsi="Arial" w:cs="Arial"/>
              </w:rPr>
              <w:t>instalace, aktualizac</w:t>
            </w:r>
            <w:r>
              <w:rPr>
                <w:rFonts w:ascii="Arial" w:hAnsi="Arial" w:cs="Arial"/>
              </w:rPr>
              <w:t>e)</w:t>
            </w:r>
            <w:r w:rsidR="006E013C">
              <w:rPr>
                <w:rFonts w:ascii="Arial" w:hAnsi="Arial" w:cs="Arial"/>
              </w:rPr>
              <w:t>,</w:t>
            </w:r>
          </w:p>
          <w:p w14:paraId="1A85ABAF" w14:textId="03229DC6" w:rsidR="00A82667" w:rsidRDefault="00634059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A82667">
              <w:rPr>
                <w:rFonts w:ascii="Arial" w:hAnsi="Arial" w:cs="Arial"/>
              </w:rPr>
              <w:t xml:space="preserve">ledování </w:t>
            </w:r>
            <w:r w:rsidR="00181D86">
              <w:rPr>
                <w:rFonts w:ascii="Arial" w:hAnsi="Arial" w:cs="Arial"/>
              </w:rPr>
              <w:t xml:space="preserve">bezpečnostních </w:t>
            </w:r>
            <w:r w:rsidR="00A82667">
              <w:rPr>
                <w:rFonts w:ascii="Arial" w:hAnsi="Arial" w:cs="Arial"/>
              </w:rPr>
              <w:t>zranitelností Aplikací a jejich reporting 1 x za měsíc,</w:t>
            </w:r>
          </w:p>
          <w:p w14:paraId="27E9FB16" w14:textId="460431E8" w:rsidR="00A82667" w:rsidRDefault="00634059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A82667">
              <w:rPr>
                <w:rFonts w:ascii="Arial" w:hAnsi="Arial" w:cs="Arial"/>
              </w:rPr>
              <w:t xml:space="preserve">ávrh oprav </w:t>
            </w:r>
            <w:r w:rsidR="00181D86">
              <w:rPr>
                <w:rFonts w:ascii="Arial" w:hAnsi="Arial" w:cs="Arial"/>
              </w:rPr>
              <w:t xml:space="preserve">bezpečnostních </w:t>
            </w:r>
            <w:r w:rsidR="00A82667">
              <w:rPr>
                <w:rFonts w:ascii="Arial" w:hAnsi="Arial" w:cs="Arial"/>
              </w:rPr>
              <w:t>zranitelností a jejich implementace,</w:t>
            </w:r>
          </w:p>
          <w:p w14:paraId="509E3573" w14:textId="1A79A95B" w:rsidR="006E013C" w:rsidRPr="0005145A" w:rsidRDefault="006E013C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pravidelný status meeting</w:t>
            </w:r>
            <w:r w:rsidR="00AF353A">
              <w:rPr>
                <w:rFonts w:ascii="Arial" w:hAnsi="Arial" w:cs="Arial"/>
              </w:rPr>
              <w:t xml:space="preserve"> 1 x týdně v minimální délce</w:t>
            </w:r>
            <w:r w:rsidR="00E9697B">
              <w:rPr>
                <w:rFonts w:ascii="Arial" w:hAnsi="Arial" w:cs="Arial"/>
              </w:rPr>
              <w:t xml:space="preserve"> 30 minut pro</w:t>
            </w:r>
            <w:r w:rsidR="005C16F5">
              <w:rPr>
                <w:rFonts w:ascii="Arial" w:hAnsi="Arial" w:cs="Arial"/>
              </w:rPr>
              <w:t xml:space="preserve"> kontrolu provozních </w:t>
            </w:r>
            <w:r w:rsidR="00734ED5">
              <w:rPr>
                <w:rFonts w:ascii="Arial" w:hAnsi="Arial" w:cs="Arial"/>
              </w:rPr>
              <w:t>tiketů a rozvojových požadavků,</w:t>
            </w:r>
            <w:r w:rsidR="00E9697B">
              <w:rPr>
                <w:rFonts w:ascii="Arial" w:hAnsi="Arial" w:cs="Arial"/>
              </w:rPr>
              <w:t xml:space="preserve"> nedohodne</w:t>
            </w:r>
            <w:r w:rsidR="00CE149F">
              <w:rPr>
                <w:rFonts w:ascii="Arial" w:hAnsi="Arial" w:cs="Arial"/>
              </w:rPr>
              <w:t>-</w:t>
            </w:r>
            <w:r w:rsidR="00E9697B">
              <w:rPr>
                <w:rFonts w:ascii="Arial" w:hAnsi="Arial" w:cs="Arial"/>
              </w:rPr>
              <w:t>li se Objednatel s Dodavatelem jinak.</w:t>
            </w:r>
          </w:p>
          <w:p w14:paraId="0EB8BB8F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00222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 w:rsidR="00545557">
              <w:rPr>
                <w:rFonts w:cs="Arial"/>
              </w:rPr>
              <w:t xml:space="preserve"> </w:t>
            </w:r>
            <w:r w:rsidRPr="006E3C72">
              <w:rPr>
                <w:rFonts w:cs="Arial"/>
              </w:rPr>
              <w:t>Deskových požadavku Objednatele.</w:t>
            </w:r>
          </w:p>
          <w:p w14:paraId="767FF5C8" w14:textId="241DF68A" w:rsidR="006E3C72" w:rsidRPr="00972CE1" w:rsidRDefault="006E3C72" w:rsidP="00972CE1">
            <w:pPr>
              <w:keepNext/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6E3C72" w:rsidRPr="006E3C72" w14:paraId="7E59B388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792A27" w:rsidRPr="006E3C72" w14:paraId="5376BCF0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7777777" w:rsidR="00792A27" w:rsidRPr="006E3C72" w:rsidRDefault="00792A27" w:rsidP="00792A27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89FA6A" w14:textId="77777777" w:rsidR="00792A27" w:rsidRPr="00497FCC" w:rsidRDefault="00792A27" w:rsidP="00792A27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1B58A115" w14:textId="77777777" w:rsidR="00792A27" w:rsidRPr="00497FCC" w:rsidRDefault="00792A27" w:rsidP="00792A27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Započetí další hodiny nad rámec Doby na vyřešení: 100 CZK bez DPH</w:t>
            </w:r>
          </w:p>
          <w:p w14:paraId="32285DC0" w14:textId="77777777" w:rsidR="00792A27" w:rsidRPr="00497FCC" w:rsidRDefault="00792A27" w:rsidP="00792A27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  <w:p w14:paraId="51A14E4A" w14:textId="77777777" w:rsidR="00792A27" w:rsidRPr="00497FCC" w:rsidRDefault="00792A27" w:rsidP="00792A27">
            <w:pPr>
              <w:spacing w:before="40" w:after="40"/>
              <w:jc w:val="both"/>
              <w:rPr>
                <w:rFonts w:cs="Arial"/>
              </w:rPr>
            </w:pPr>
          </w:p>
          <w:p w14:paraId="3D2870A8" w14:textId="344547EC" w:rsidR="00792A27" w:rsidRPr="006E3C72" w:rsidRDefault="00792A27" w:rsidP="00792A27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Smluvní strany se dohodly, že celková výše Smluvních pokut pro tuto Službu je omezena do výše 50% Ceny za Služby spočívající ve vyřešení Incidentu v rámci pracovní doby.</w:t>
            </w:r>
          </w:p>
        </w:tc>
      </w:tr>
      <w:tr w:rsidR="00287F74" w:rsidRPr="006E3C72" w14:paraId="541778A5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D3B3036" w14:textId="77777777" w:rsidR="00287F74" w:rsidRPr="006E3C72" w:rsidRDefault="00287F74" w:rsidP="00287F74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4F6661" w14:textId="08B300EF" w:rsidR="00287F74" w:rsidRPr="006E3C72" w:rsidRDefault="00287F74" w:rsidP="00287F74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 xml:space="preserve">Cena za Služby spočívající ve Standardních činnostech při Provozu Aplikací = [cena Služby stanovená přílohou č.1 – Katalog služeb]) </w:t>
            </w:r>
          </w:p>
        </w:tc>
      </w:tr>
      <w:tr w:rsidR="00287F74" w:rsidRPr="006E3C72" w14:paraId="2FE4AB6E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37C30E1" w14:textId="77777777" w:rsidR="00287F74" w:rsidRPr="006E3C72" w:rsidRDefault="00287F74" w:rsidP="00287F74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F7E2D8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5FC63981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5298FD2D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 w:rsidRPr="00497FCC"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 w:rsidRPr="00497FCC">
              <w:rPr>
                <w:rFonts w:cs="Arial"/>
                <w:b/>
                <w:lang w:eastAsia="en-US"/>
              </w:rPr>
              <w:t>CS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b/>
                <w:lang w:eastAsia="en-US"/>
              </w:rPr>
              <w:t>- [(H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b/>
                <w:lang w:eastAsia="en-US"/>
              </w:rPr>
              <w:t>*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DV</w:t>
            </w:r>
            <w:r w:rsidRPr="00497FCC">
              <w:rPr>
                <w:rFonts w:cs="Arial"/>
                <w:b/>
                <w:lang w:eastAsia="en-US"/>
              </w:rPr>
              <w:t>) +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b/>
                <w:lang w:eastAsia="en-US"/>
              </w:rPr>
              <w:t>]</w:t>
            </w:r>
          </w:p>
          <w:p w14:paraId="52359617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 xml:space="preserve">s tím, že </w:t>
            </w:r>
          </w:p>
          <w:p w14:paraId="6CCBDC06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 w:rsidRPr="00497FCC">
              <w:rPr>
                <w:rFonts w:cs="Arial"/>
                <w:lang w:eastAsia="en-US"/>
              </w:rPr>
              <w:t>CS</w:t>
            </w:r>
            <w:r w:rsidRPr="00497FCC"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lang w:eastAsia="en-US"/>
              </w:rPr>
              <w:t xml:space="preserve">= Cena za Služby spočívající ve Standardních činnostech při Provozu Aplikací  </w:t>
            </w:r>
          </w:p>
          <w:p w14:paraId="63C4D30E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H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10E1AA1D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3C47CED6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lang w:eastAsia="en-US"/>
              </w:rPr>
              <w:t xml:space="preserve"> = Smluvní pokuta za nepředložení Zprávy o čerpání Služby v Době na doručení Zprávy o čerpání služeb</w:t>
            </w:r>
          </w:p>
          <w:p w14:paraId="29D6B957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7A372072" w14:textId="2D911107" w:rsidR="00287F74" w:rsidRPr="006E3C72" w:rsidRDefault="00287F74" w:rsidP="00287F74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72915F5E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3876"/>
        <w:gridCol w:w="5923"/>
      </w:tblGrid>
      <w:tr w:rsidR="006E3C72" w:rsidRPr="006E3C72" w14:paraId="7F828986" w14:textId="77777777" w:rsidTr="006E3C7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6E3C72" w14:paraId="6C8E772B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4AD9B1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105A5115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8:00–1</w:t>
            </w:r>
            <w:r w:rsidR="00FB102C">
              <w:rPr>
                <w:rFonts w:cs="Arial"/>
                <w:lang w:eastAsia="en-US"/>
              </w:rPr>
              <w:t>6</w:t>
            </w:r>
            <w:r>
              <w:rPr>
                <w:rFonts w:cs="Arial"/>
                <w:lang w:eastAsia="en-US"/>
              </w:rPr>
              <w:t>:00 h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0F19B147" w:rsidR="00BC1DBC" w:rsidRPr="006E3C72" w:rsidRDefault="00BC1DBC" w:rsidP="00E37AF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6E3C72" w14:paraId="61665459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4EDB5421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5FC2EF7F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4 hodiny od zadání žádosti o </w:t>
            </w:r>
            <w:r w:rsidR="009575B5">
              <w:rPr>
                <w:rFonts w:cs="Arial"/>
                <w:lang w:eastAsia="en-US"/>
              </w:rPr>
              <w:t>Standar</w:t>
            </w:r>
            <w:r w:rsidR="008A6D53">
              <w:rPr>
                <w:rFonts w:cs="Arial"/>
                <w:lang w:eastAsia="en-US"/>
              </w:rPr>
              <w:t>d</w:t>
            </w:r>
            <w:r w:rsidR="009575B5">
              <w:rPr>
                <w:rFonts w:cs="Arial"/>
                <w:lang w:eastAsia="en-US"/>
              </w:rPr>
              <w:t xml:space="preserve">ní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07B4C58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6E3C72" w14:paraId="6E50946C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EB552D" w14:textId="3D030BEC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správa číselníků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2F7CB5" w14:textId="20A17EF9" w:rsidR="00BC1DBC" w:rsidRPr="006E3C72" w:rsidRDefault="00BC1DBC" w:rsidP="00071D2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4 hodiny od zadání žádosti o </w:t>
            </w:r>
            <w:r w:rsidR="009575B5">
              <w:rPr>
                <w:rFonts w:cs="Arial"/>
                <w:lang w:eastAsia="en-US"/>
              </w:rPr>
              <w:t>Standar</w:t>
            </w:r>
            <w:r w:rsidR="008A6D53">
              <w:rPr>
                <w:rFonts w:cs="Arial"/>
                <w:lang w:eastAsia="en-US"/>
              </w:rPr>
              <w:t>d</w:t>
            </w:r>
            <w:r w:rsidR="009575B5">
              <w:rPr>
                <w:rFonts w:cs="Arial"/>
                <w:lang w:eastAsia="en-US"/>
              </w:rPr>
              <w:t xml:space="preserve">ní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D01207" w14:textId="31F79E06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6E3C72" w14:paraId="5F26A6F7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625630C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provedení změn konfigurace nebo nastavení Aplikací v rozsahu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44A25BD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8 hodin od zadání žádosti o </w:t>
            </w:r>
            <w:r w:rsidR="009575B5">
              <w:rPr>
                <w:rFonts w:cs="Arial"/>
                <w:lang w:eastAsia="en-US"/>
              </w:rPr>
              <w:t>Standar</w:t>
            </w:r>
            <w:r w:rsidR="008A6D53">
              <w:rPr>
                <w:rFonts w:cs="Arial"/>
                <w:lang w:eastAsia="en-US"/>
              </w:rPr>
              <w:t>d</w:t>
            </w:r>
            <w:r w:rsidR="009575B5">
              <w:rPr>
                <w:rFonts w:cs="Arial"/>
                <w:lang w:eastAsia="en-US"/>
              </w:rPr>
              <w:t xml:space="preserve">ní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31DD4048" w:rsidR="00BC1DBC" w:rsidRPr="006E3C72" w:rsidRDefault="00BC1DBC" w:rsidP="00342B6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6E3C72" w14:paraId="29F4C2C4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8E04232" w14:textId="31887B1D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oprava dat aplikace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E586AA7" w14:textId="69951784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8 hodin od zadání žádosti o </w:t>
            </w:r>
            <w:r w:rsidR="009575B5">
              <w:rPr>
                <w:rFonts w:cs="Arial"/>
                <w:lang w:eastAsia="en-US"/>
              </w:rPr>
              <w:t>Standar</w:t>
            </w:r>
            <w:r w:rsidR="008A6D53">
              <w:rPr>
                <w:rFonts w:cs="Arial"/>
                <w:lang w:eastAsia="en-US"/>
              </w:rPr>
              <w:t>d</w:t>
            </w:r>
            <w:r w:rsidR="009575B5">
              <w:rPr>
                <w:rFonts w:cs="Arial"/>
                <w:lang w:eastAsia="en-US"/>
              </w:rPr>
              <w:t xml:space="preserve">ní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100777D" w14:textId="19B91B3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D31870" w:rsidRPr="006E3C72" w14:paraId="0BBA4393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36E8581" w14:textId="03BF273D" w:rsidR="00D31870" w:rsidRDefault="00D31870" w:rsidP="00D31870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</w:rPr>
              <w:lastRenderedPageBreak/>
              <w:t>Sledování bezpečnostních zranitelností Aplikací a jejich reporting 1 x za měsíc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04A46A" w14:textId="27254B08" w:rsidR="00D31870" w:rsidRDefault="00D31870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 x měsíc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246EC5" w14:textId="2FE913D6" w:rsidR="00D31870" w:rsidRDefault="00D31870">
            <w:pPr>
              <w:spacing w:before="40" w:after="40"/>
              <w:jc w:val="both"/>
              <w:rPr>
                <w:rFonts w:cs="Arial"/>
                <w:lang w:eastAsia="en-US"/>
              </w:rPr>
            </w:pPr>
            <w:proofErr w:type="spellStart"/>
            <w:r w:rsidRPr="00D31870">
              <w:rPr>
                <w:rFonts w:cs="Arial"/>
                <w:lang w:eastAsia="en-US"/>
              </w:rPr>
              <w:t>ZoČS_REPORT</w:t>
            </w:r>
            <w:proofErr w:type="spellEnd"/>
          </w:p>
        </w:tc>
      </w:tr>
      <w:tr w:rsidR="00D31870" w:rsidRPr="006E3C72" w14:paraId="0BD4700C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F3A278" w14:textId="3071AAC6" w:rsidR="00D31870" w:rsidRDefault="00B835DF" w:rsidP="00B835DF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</w:rPr>
              <w:t>Návrh oprav bezpečnostních zranitelností a jejich implementace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ACB4E7" w14:textId="30C14328" w:rsidR="00D31870" w:rsidRDefault="000243CC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20 pracovních dní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A4DD8E" w14:textId="133B91C4" w:rsidR="00D31870" w:rsidRDefault="00B835DF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6E3C72" w14:paraId="5FE4A487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DE09034" w14:textId="74F757D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B08DACF" w14:textId="7117F0D8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5 pracovních dní od zadání žádosti o </w:t>
            </w:r>
            <w:r w:rsidR="0023039F">
              <w:rPr>
                <w:rFonts w:cs="Arial"/>
                <w:lang w:eastAsia="en-US"/>
              </w:rPr>
              <w:t>Standar</w:t>
            </w:r>
            <w:r w:rsidR="008A6D53">
              <w:rPr>
                <w:rFonts w:cs="Arial"/>
                <w:lang w:eastAsia="en-US"/>
              </w:rPr>
              <w:t>d</w:t>
            </w:r>
            <w:r w:rsidR="0023039F">
              <w:rPr>
                <w:rFonts w:cs="Arial"/>
                <w:lang w:eastAsia="en-US"/>
              </w:rPr>
              <w:t xml:space="preserve">ní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BEE85A" w14:textId="4AC67316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Časové záznamy o řešení Incidentů v aplikaci HelpDesk Objednatele.</w:t>
            </w:r>
          </w:p>
        </w:tc>
      </w:tr>
      <w:tr w:rsidR="00BC1DBC" w:rsidRPr="006E3C72" w14:paraId="65A62910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188B518" w14:textId="5CA10924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dohodnuté odstávky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9842B1" w14:textId="7F8ECCB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N/A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0436C7F" w14:textId="25D0C7D7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Kontrola zaměstnanci Objednatele.</w:t>
            </w:r>
          </w:p>
        </w:tc>
      </w:tr>
    </w:tbl>
    <w:p w14:paraId="32823E6E" w14:textId="77777777" w:rsidR="006E3C72" w:rsidRP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9A1BFDA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6E3C72" w:rsidRPr="006E3C72" w14:paraId="3800D41C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7CDEE1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4733AB63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2E1F3F64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 xml:space="preserve">Report dle kapitoly </w:t>
            </w:r>
            <w:r w:rsidR="008A6D53">
              <w:rPr>
                <w:rFonts w:cs="Arial"/>
                <w:bCs/>
                <w:lang w:eastAsia="zh-CN"/>
              </w:rPr>
              <w:t>7</w:t>
            </w:r>
            <w:r>
              <w:rPr>
                <w:rFonts w:cs="Arial"/>
                <w:bCs/>
                <w:lang w:eastAsia="zh-CN"/>
              </w:rPr>
              <w:t xml:space="preserve">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4FBCB596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2DFB6680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028FFC75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47396C2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D823209" w14:textId="77777777" w:rsid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56C62942" w14:textId="77777777" w:rsidR="006E3C72" w:rsidRDefault="006E3C72" w:rsidP="006E3C72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639AB08E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407424C2" w14:textId="097B0FED" w:rsidR="006B43AA" w:rsidRPr="006B43AA" w:rsidRDefault="006B43AA" w:rsidP="00900962">
      <w:pPr>
        <w:tabs>
          <w:tab w:val="left" w:pos="708"/>
        </w:tabs>
        <w:suppressAutoHyphens/>
        <w:spacing w:before="240" w:after="240" w:line="240" w:lineRule="atLeast"/>
        <w:ind w:left="454"/>
        <w:rPr>
          <w:rFonts w:eastAsiaTheme="minorHAnsi" w:cs="Arial"/>
          <w:b/>
          <w:sz w:val="22"/>
          <w:szCs w:val="24"/>
          <w:lang w:eastAsia="zh-CN"/>
        </w:rPr>
      </w:pPr>
      <w:r w:rsidRPr="006B43AA">
        <w:rPr>
          <w:rFonts w:eastAsiaTheme="minorHAnsi" w:cs="Arial"/>
          <w:b/>
          <w:sz w:val="22"/>
          <w:szCs w:val="24"/>
          <w:lang w:eastAsia="zh-CN"/>
        </w:rPr>
        <w:t xml:space="preserve">Postup při zajištění </w:t>
      </w:r>
      <w:r w:rsidR="00900962">
        <w:rPr>
          <w:rFonts w:eastAsiaTheme="minorHAnsi" w:cs="Arial"/>
          <w:b/>
          <w:sz w:val="22"/>
          <w:szCs w:val="24"/>
          <w:lang w:eastAsia="zh-CN"/>
        </w:rPr>
        <w:t>Standardních</w:t>
      </w:r>
      <w:r w:rsidR="0023039F" w:rsidRPr="006B43AA">
        <w:rPr>
          <w:rFonts w:eastAsiaTheme="minorHAnsi" w:cs="Arial"/>
          <w:b/>
          <w:sz w:val="22"/>
          <w:szCs w:val="24"/>
          <w:lang w:eastAsia="zh-CN"/>
        </w:rPr>
        <w:t xml:space="preserve"> </w:t>
      </w:r>
      <w:r w:rsidRPr="006B43AA">
        <w:rPr>
          <w:rFonts w:eastAsiaTheme="minorHAnsi" w:cs="Arial"/>
          <w:b/>
          <w:sz w:val="22"/>
          <w:szCs w:val="24"/>
          <w:lang w:eastAsia="zh-CN"/>
        </w:rPr>
        <w:t>činností</w:t>
      </w:r>
    </w:p>
    <w:p w14:paraId="7CBEB839" w14:textId="77777777" w:rsidR="00900962" w:rsidRPr="006B43AA" w:rsidRDefault="00900962" w:rsidP="0090096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Provozní činnosti </w:t>
      </w:r>
      <w:r w:rsidRPr="006B43AA">
        <w:rPr>
          <w:rFonts w:cs="Arial"/>
          <w:szCs w:val="24"/>
          <w:lang w:eastAsia="zh-CN"/>
        </w:rPr>
        <w:t xml:space="preserve">Objednatel ohlásí Provozní činnost Dodavateli tak, že </w:t>
      </w:r>
      <w:proofErr w:type="gramStart"/>
      <w:r w:rsidRPr="006B43AA">
        <w:rPr>
          <w:rFonts w:cs="Arial"/>
          <w:szCs w:val="24"/>
          <w:lang w:eastAsia="zh-CN"/>
        </w:rPr>
        <w:t>vloží</w:t>
      </w:r>
      <w:proofErr w:type="gramEnd"/>
      <w:r w:rsidRPr="006B43AA">
        <w:rPr>
          <w:rFonts w:cs="Arial"/>
          <w:szCs w:val="24"/>
          <w:lang w:eastAsia="zh-CN"/>
        </w:rPr>
        <w:t xml:space="preserve"> Hlášení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Objednatele, vytvořenému hlášení nastaví druh tiketu na hodnotu „Provozní činnost“ a přiřadí hlášení k řešení na Dodavatele. V Hlášení Objednatel uvede veškeré jemu známé informace, které jsou nezbytné pro úspěšné a včasné poskytnutí Služby.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BAE6036" w14:textId="77777777" w:rsidR="00900962" w:rsidRPr="006B43AA" w:rsidRDefault="00900962" w:rsidP="0090096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Provozní činnosti, požádá Dodavatel Objednatele o doplnění informací, které po Objednateli lze rozumně požadovat,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Objednatel doplní informace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O dobu, která uplyne od okamžiku, ve kterém Dodavatel doručil Objednateli žádost o doplnění informací, do okamžiku, ve kterém Objednatel Dodavateli požadované informace doručil, se zkracuje Doba na vyřešení.</w:t>
      </w:r>
    </w:p>
    <w:p w14:paraId="2BADDB0C" w14:textId="77777777" w:rsidR="00900962" w:rsidRPr="006B43AA" w:rsidRDefault="00900962" w:rsidP="0090096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Provozní činnosti </w:t>
      </w:r>
      <w:r w:rsidRPr="006B43AA">
        <w:rPr>
          <w:rFonts w:cs="Arial"/>
          <w:szCs w:val="24"/>
          <w:lang w:eastAsia="zh-CN"/>
        </w:rPr>
        <w:t>Dodavatel vykoná Provozní 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47B9369F" w14:textId="77777777" w:rsidR="00900962" w:rsidRPr="006B43AA" w:rsidRDefault="00900962" w:rsidP="0090096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Provozní činnosti </w:t>
      </w:r>
      <w:r w:rsidRPr="006B43AA">
        <w:rPr>
          <w:rFonts w:cs="Arial"/>
          <w:szCs w:val="24"/>
          <w:lang w:eastAsia="zh-CN"/>
        </w:rPr>
        <w:t xml:space="preserve">Dodavatel vyrozumí Objednatele o provedení Provozní činnosti neprodleně poté, co se Dodavatel </w:t>
      </w:r>
      <w:proofErr w:type="gramStart"/>
      <w:r w:rsidRPr="006B43AA">
        <w:rPr>
          <w:rFonts w:cs="Arial"/>
          <w:szCs w:val="24"/>
          <w:lang w:eastAsia="zh-CN"/>
        </w:rPr>
        <w:t>přesvědčí</w:t>
      </w:r>
      <w:proofErr w:type="gramEnd"/>
      <w:r w:rsidRPr="006B43AA">
        <w:rPr>
          <w:rFonts w:cs="Arial"/>
          <w:szCs w:val="24"/>
          <w:lang w:eastAsia="zh-CN"/>
        </w:rPr>
        <w:t xml:space="preserve"> o tom, že provozní činnost byla bezvadně provedena. Vyrozumění o provedení Provozní činnosti poskytne Dodavatel Objednateli doplněním informace o provedení Provozní činnosti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</w:t>
      </w:r>
    </w:p>
    <w:p w14:paraId="277154BE" w14:textId="77777777" w:rsidR="00900962" w:rsidRPr="006B43AA" w:rsidRDefault="00900962" w:rsidP="0090096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Provozní činnosti </w:t>
      </w:r>
      <w:r w:rsidRPr="006B43AA">
        <w:rPr>
          <w:rFonts w:cs="Arial"/>
          <w:szCs w:val="24"/>
          <w:lang w:eastAsia="zh-CN"/>
        </w:rPr>
        <w:t xml:space="preserve">Objednatel </w:t>
      </w:r>
      <w:proofErr w:type="gramStart"/>
      <w:r w:rsidRPr="006B43AA">
        <w:rPr>
          <w:rFonts w:cs="Arial"/>
          <w:szCs w:val="24"/>
          <w:lang w:eastAsia="zh-CN"/>
        </w:rPr>
        <w:t>ověří</w:t>
      </w:r>
      <w:proofErr w:type="gramEnd"/>
      <w:r w:rsidRPr="006B43AA">
        <w:rPr>
          <w:rFonts w:cs="Arial"/>
          <w:szCs w:val="24"/>
          <w:lang w:eastAsia="zh-CN"/>
        </w:rPr>
        <w:t>, zda byla Provozní činnost provedena v souladu s Hlášením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Objednatele, a to nejpozději do dvou (2) Pracovních dnů od vyrozumění o provedení Provozní činnosti. Neprodleně po ověření provedení Provozní činnosti sdělí Objednatel Dodavateli, zda Provozní činnost byla bezvadně provedena. Pokud podle sdělení Objednatele Provozní 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41CCD4D7" w14:textId="77777777" w:rsidR="00900962" w:rsidRPr="006B43AA" w:rsidRDefault="00900962" w:rsidP="00900962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je v bezvadném stavu, Objednatel uzavře Hlášení v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Objednatele (uvede Hlášení do stavu „Uzavřený“). Registrací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dle předchozí věty se považuje Provozní činnost za provedenou.</w:t>
      </w:r>
    </w:p>
    <w:p w14:paraId="6A0E1172" w14:textId="77777777" w:rsidR="00900962" w:rsidRPr="006B43AA" w:rsidRDefault="00900962" w:rsidP="00900962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>není v bezvadném stavu, Dodavatel bez zbytečného odkladu zajistí, aby Provozní činnost byla provedena dle Hlášení v 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Objednatele a vyrozumí Objednatele o provedení Provozní činnosti. Smluvní strany pak postupují podle odst. Provedení Provozní činnosti a dalších až do okamžiku, ve kterém Objednatel potvrdí, že Provozní činnost je v bezvadném stavu. O dobu, která uplyne od okamžiku, ve kterém Objednatel doručil Dodavateli vyrozumění o neprovedení Provozní činnosti, do okamžiku, ve kterém Dodavatel doručil Objednateli vyrozumění o tom, že Provozní činnost není v bezvadném stavu, se prodlužuje Doba na vyřešení.</w:t>
      </w:r>
    </w:p>
    <w:p w14:paraId="38C03E59" w14:textId="77777777" w:rsidR="00900962" w:rsidRPr="006B43AA" w:rsidRDefault="00900962" w:rsidP="0090096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Nečinnost Objednatele </w:t>
      </w:r>
      <w:r w:rsidRPr="006B43AA">
        <w:rPr>
          <w:rFonts w:cs="Arial"/>
          <w:szCs w:val="24"/>
          <w:lang w:eastAsia="zh-CN"/>
        </w:rPr>
        <w:t>Pokud Objednatel po dvou (2) Pracovních dnech ode dne, ve které bylo Dodavatelem k Hlášení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 doplněna informace o provedení Provozní činnosti, nesdělí, zda Provozní činnost, je v bezvadném stavu, považuje se Provozní činnost za provedenou bez výhrad a Objednatel takové Hlášení v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 uzavře (uvede Hlášení do stavu „Uzavřený“). </w:t>
      </w:r>
    </w:p>
    <w:p w14:paraId="27EEB2CF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15FC555" w14:textId="77777777" w:rsidR="0053232E" w:rsidRPr="00FA16FE" w:rsidRDefault="0053232E" w:rsidP="0053232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5221FC2F" w14:textId="77777777" w:rsidR="0053232E" w:rsidRPr="00794E2A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7CD48626" w14:textId="77777777" w:rsidR="0053232E" w:rsidRPr="00794E2A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lastRenderedPageBreak/>
        <w:t xml:space="preserve">přístupy a dostatečná úroveň oprávnění pro správu a údržbu aplikačních serverů včetně testovacích, </w:t>
      </w:r>
    </w:p>
    <w:p w14:paraId="002B670E" w14:textId="77777777" w:rsidR="0053232E" w:rsidRPr="00FA16FE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</w:t>
      </w:r>
      <w:proofErr w:type="gramStart"/>
      <w:r w:rsidRPr="00FA16FE">
        <w:rPr>
          <w:rFonts w:cs="Arial"/>
          <w:color w:val="000000"/>
          <w:szCs w:val="24"/>
          <w:lang w:eastAsia="zh-CN"/>
        </w:rPr>
        <w:t>běží</w:t>
      </w:r>
      <w:proofErr w:type="gramEnd"/>
      <w:r w:rsidRPr="00FA16FE">
        <w:rPr>
          <w:rFonts w:cs="Arial"/>
          <w:color w:val="000000"/>
          <w:szCs w:val="24"/>
          <w:lang w:eastAsia="zh-CN"/>
        </w:rPr>
        <w:t xml:space="preserve"> svěřené aplikace (včetně síťových adres jednotlivých částí), </w:t>
      </w:r>
    </w:p>
    <w:p w14:paraId="1C1D3252" w14:textId="77777777" w:rsidR="0053232E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27202A0A" w14:textId="77777777" w:rsidR="0053232E" w:rsidRPr="00FA16FE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</w:p>
    <w:p w14:paraId="17F996FB" w14:textId="77777777" w:rsidR="0053232E" w:rsidRPr="00FA16FE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FA16FE">
        <w:rPr>
          <w:rFonts w:cs="Arial"/>
          <w:color w:val="000000"/>
          <w:szCs w:val="24"/>
          <w:lang w:eastAsia="zh-CN"/>
        </w:rPr>
        <w:t>Help</w:t>
      </w:r>
      <w:proofErr w:type="spellEnd"/>
      <w:r>
        <w:rPr>
          <w:rFonts w:cs="Arial"/>
          <w:color w:val="000000"/>
          <w:szCs w:val="24"/>
          <w:lang w:eastAsia="zh-CN"/>
        </w:rPr>
        <w:t xml:space="preserve"> </w:t>
      </w:r>
      <w:r w:rsidRPr="00FA16FE">
        <w:rPr>
          <w:rFonts w:cs="Arial"/>
          <w:color w:val="000000"/>
          <w:szCs w:val="24"/>
          <w:lang w:eastAsia="zh-CN"/>
        </w:rPr>
        <w:t xml:space="preserve">Desku </w:t>
      </w:r>
      <w:r>
        <w:rPr>
          <w:rFonts w:cs="Arial"/>
          <w:color w:val="000000"/>
          <w:szCs w:val="24"/>
          <w:lang w:eastAsia="zh-CN"/>
        </w:rPr>
        <w:t>O</w:t>
      </w:r>
      <w:r w:rsidRPr="00FA16FE">
        <w:rPr>
          <w:rFonts w:cs="Arial"/>
          <w:color w:val="000000"/>
          <w:szCs w:val="24"/>
          <w:lang w:eastAsia="zh-CN"/>
        </w:rPr>
        <w:t xml:space="preserve">bjednatele, </w:t>
      </w:r>
    </w:p>
    <w:p w14:paraId="2B9295AE" w14:textId="3B79C8E6" w:rsidR="006B43AA" w:rsidRPr="0053232E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  <w:r w:rsidR="006B43AA" w:rsidRPr="0053232E">
        <w:rPr>
          <w:rFonts w:cs="Arial"/>
          <w:szCs w:val="24"/>
          <w:lang w:eastAsia="zh-CN"/>
        </w:rPr>
        <w:t xml:space="preserve"> </w:t>
      </w:r>
    </w:p>
    <w:p w14:paraId="3184FEB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47EF8BAB" w14:textId="5057C7B6" w:rsidR="006B43AA" w:rsidRPr="0053232E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Viz příloha „</w:t>
      </w:r>
      <w:proofErr w:type="spellStart"/>
      <w:r w:rsidRPr="006B43AA">
        <w:rPr>
          <w:rFonts w:cs="Arial"/>
          <w:szCs w:val="24"/>
          <w:lang w:eastAsia="zh-CN"/>
        </w:rPr>
        <w:t>ZoČS_</w:t>
      </w:r>
      <w:r w:rsidR="00D66CE2">
        <w:rPr>
          <w:rFonts w:cs="Arial"/>
          <w:szCs w:val="24"/>
          <w:lang w:eastAsia="zh-CN"/>
        </w:rPr>
        <w:t>REPORT</w:t>
      </w:r>
      <w:proofErr w:type="spellEnd"/>
      <w:r w:rsidRPr="006B43AA">
        <w:rPr>
          <w:rFonts w:cs="Arial"/>
          <w:szCs w:val="24"/>
          <w:lang w:eastAsia="zh-CN"/>
        </w:rPr>
        <w:t>“.</w:t>
      </w:r>
    </w:p>
    <w:p w14:paraId="40C1A7E9" w14:textId="77777777" w:rsidR="00132FFC" w:rsidRPr="006E3C72" w:rsidRDefault="00132FFC">
      <w:pPr>
        <w:rPr>
          <w:rFonts w:cs="Arial"/>
          <w:b/>
        </w:rPr>
      </w:pPr>
    </w:p>
    <w:sectPr w:rsidR="00132FFC" w:rsidRPr="006E3C72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959D9" w14:textId="77777777" w:rsidR="00F01CE5" w:rsidRDefault="00F01CE5" w:rsidP="00B45E24">
      <w:r>
        <w:separator/>
      </w:r>
    </w:p>
  </w:endnote>
  <w:endnote w:type="continuationSeparator" w:id="0">
    <w:p w14:paraId="60C46412" w14:textId="77777777" w:rsidR="00F01CE5" w:rsidRDefault="00F01CE5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9C16" w14:textId="77777777" w:rsidR="00F01CE5" w:rsidRDefault="00F01CE5" w:rsidP="00B45E24">
      <w:r>
        <w:separator/>
      </w:r>
    </w:p>
  </w:footnote>
  <w:footnote w:type="continuationSeparator" w:id="0">
    <w:p w14:paraId="164414BB" w14:textId="77777777" w:rsidR="00F01CE5" w:rsidRDefault="00F01CE5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5406" w14:textId="2D0C2D10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C4D3E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C4D3E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69355852" w14:textId="266B5D14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545557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545557">
      <w:rPr>
        <w:rStyle w:val="slostrnky"/>
        <w:sz w:val="16"/>
        <w:szCs w:val="16"/>
      </w:rPr>
      <w:t>.</w:t>
    </w:r>
    <w:r w:rsidR="00545557" w:rsidRPr="00545557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</w:t>
    </w:r>
    <w:r w:rsidR="00A84256">
      <w:rPr>
        <w:sz w:val="16"/>
        <w:szCs w:val="16"/>
      </w:rPr>
      <w:t>í na platformě .NET</w:t>
    </w:r>
  </w:p>
  <w:p w14:paraId="3E8A429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9297DE9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662568C7"/>
    <w:multiLevelType w:val="multilevel"/>
    <w:tmpl w:val="565439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9594588">
    <w:abstractNumId w:val="2"/>
  </w:num>
  <w:num w:numId="2" w16cid:durableId="542601155">
    <w:abstractNumId w:val="5"/>
  </w:num>
  <w:num w:numId="3" w16cid:durableId="573856144">
    <w:abstractNumId w:val="1"/>
  </w:num>
  <w:num w:numId="4" w16cid:durableId="1497695986">
    <w:abstractNumId w:val="7"/>
  </w:num>
  <w:num w:numId="5" w16cid:durableId="2062289485">
    <w:abstractNumId w:val="0"/>
    <w:lvlOverride w:ilvl="0">
      <w:startOverride w:val="1"/>
    </w:lvlOverride>
  </w:num>
  <w:num w:numId="6" w16cid:durableId="1522741992">
    <w:abstractNumId w:val="3"/>
  </w:num>
  <w:num w:numId="7" w16cid:durableId="1606884805">
    <w:abstractNumId w:val="3"/>
  </w:num>
  <w:num w:numId="8" w16cid:durableId="1761019686">
    <w:abstractNumId w:val="4"/>
  </w:num>
  <w:num w:numId="9" w16cid:durableId="2096169683">
    <w:abstractNumId w:val="3"/>
  </w:num>
  <w:num w:numId="10" w16cid:durableId="13315232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243CC"/>
    <w:rsid w:val="00043341"/>
    <w:rsid w:val="0005145A"/>
    <w:rsid w:val="00071D2D"/>
    <w:rsid w:val="00097E33"/>
    <w:rsid w:val="000A76C8"/>
    <w:rsid w:val="000D586B"/>
    <w:rsid w:val="000F2FA0"/>
    <w:rsid w:val="0010352C"/>
    <w:rsid w:val="00111B4B"/>
    <w:rsid w:val="00132FFC"/>
    <w:rsid w:val="00181D86"/>
    <w:rsid w:val="001E04A8"/>
    <w:rsid w:val="001E42CD"/>
    <w:rsid w:val="002058AE"/>
    <w:rsid w:val="00210B74"/>
    <w:rsid w:val="0022653F"/>
    <w:rsid w:val="0023039F"/>
    <w:rsid w:val="00265D4F"/>
    <w:rsid w:val="00287F74"/>
    <w:rsid w:val="002C62FE"/>
    <w:rsid w:val="00314F5A"/>
    <w:rsid w:val="00342B6F"/>
    <w:rsid w:val="003752E1"/>
    <w:rsid w:val="00387DE1"/>
    <w:rsid w:val="003B692C"/>
    <w:rsid w:val="003D2F40"/>
    <w:rsid w:val="003F47D5"/>
    <w:rsid w:val="0040353B"/>
    <w:rsid w:val="00403769"/>
    <w:rsid w:val="004064C3"/>
    <w:rsid w:val="00457237"/>
    <w:rsid w:val="004625EF"/>
    <w:rsid w:val="00462BCA"/>
    <w:rsid w:val="004C2BF7"/>
    <w:rsid w:val="004C4D3E"/>
    <w:rsid w:val="004D7DE3"/>
    <w:rsid w:val="004F7CEB"/>
    <w:rsid w:val="00503385"/>
    <w:rsid w:val="00511934"/>
    <w:rsid w:val="0053232E"/>
    <w:rsid w:val="00545557"/>
    <w:rsid w:val="005470D5"/>
    <w:rsid w:val="00584542"/>
    <w:rsid w:val="005C16F5"/>
    <w:rsid w:val="005C49B9"/>
    <w:rsid w:val="005E7436"/>
    <w:rsid w:val="00613D38"/>
    <w:rsid w:val="00622EFD"/>
    <w:rsid w:val="0063288B"/>
    <w:rsid w:val="00634059"/>
    <w:rsid w:val="00636A67"/>
    <w:rsid w:val="006432CE"/>
    <w:rsid w:val="00654096"/>
    <w:rsid w:val="006B43AA"/>
    <w:rsid w:val="006C5389"/>
    <w:rsid w:val="006E013C"/>
    <w:rsid w:val="006E3C72"/>
    <w:rsid w:val="006F2A50"/>
    <w:rsid w:val="006F2F1D"/>
    <w:rsid w:val="007130B2"/>
    <w:rsid w:val="00734ED5"/>
    <w:rsid w:val="00770357"/>
    <w:rsid w:val="0077705B"/>
    <w:rsid w:val="00792A27"/>
    <w:rsid w:val="007A5E06"/>
    <w:rsid w:val="007D695C"/>
    <w:rsid w:val="008171DA"/>
    <w:rsid w:val="00826BC8"/>
    <w:rsid w:val="00862FD0"/>
    <w:rsid w:val="00863E2C"/>
    <w:rsid w:val="00866D66"/>
    <w:rsid w:val="008757D2"/>
    <w:rsid w:val="008835DD"/>
    <w:rsid w:val="008857B5"/>
    <w:rsid w:val="00886B86"/>
    <w:rsid w:val="00894DD2"/>
    <w:rsid w:val="008A6D53"/>
    <w:rsid w:val="008B1BD0"/>
    <w:rsid w:val="008D4F21"/>
    <w:rsid w:val="00900962"/>
    <w:rsid w:val="009268A4"/>
    <w:rsid w:val="00944F8C"/>
    <w:rsid w:val="009575B5"/>
    <w:rsid w:val="00963612"/>
    <w:rsid w:val="00972CE1"/>
    <w:rsid w:val="009D10F9"/>
    <w:rsid w:val="009D48D2"/>
    <w:rsid w:val="009F458B"/>
    <w:rsid w:val="00A2365B"/>
    <w:rsid w:val="00A36BBF"/>
    <w:rsid w:val="00A80C37"/>
    <w:rsid w:val="00A82667"/>
    <w:rsid w:val="00A84256"/>
    <w:rsid w:val="00A86FC7"/>
    <w:rsid w:val="00AA4C79"/>
    <w:rsid w:val="00AD46F9"/>
    <w:rsid w:val="00AE7AA1"/>
    <w:rsid w:val="00AF0A36"/>
    <w:rsid w:val="00AF353A"/>
    <w:rsid w:val="00B22C37"/>
    <w:rsid w:val="00B356FC"/>
    <w:rsid w:val="00B45E24"/>
    <w:rsid w:val="00B546DE"/>
    <w:rsid w:val="00B835DF"/>
    <w:rsid w:val="00B92CF2"/>
    <w:rsid w:val="00BC1DBC"/>
    <w:rsid w:val="00BD78AE"/>
    <w:rsid w:val="00BE4C3D"/>
    <w:rsid w:val="00C04FEA"/>
    <w:rsid w:val="00C2185D"/>
    <w:rsid w:val="00C45FCB"/>
    <w:rsid w:val="00C4745D"/>
    <w:rsid w:val="00C53C12"/>
    <w:rsid w:val="00C67846"/>
    <w:rsid w:val="00C9383A"/>
    <w:rsid w:val="00CA102D"/>
    <w:rsid w:val="00CD13A5"/>
    <w:rsid w:val="00CD1E4C"/>
    <w:rsid w:val="00CE149F"/>
    <w:rsid w:val="00D05263"/>
    <w:rsid w:val="00D061D9"/>
    <w:rsid w:val="00D16105"/>
    <w:rsid w:val="00D31870"/>
    <w:rsid w:val="00D32C87"/>
    <w:rsid w:val="00D3400A"/>
    <w:rsid w:val="00D36ABB"/>
    <w:rsid w:val="00D378DB"/>
    <w:rsid w:val="00D55D5E"/>
    <w:rsid w:val="00D66CE2"/>
    <w:rsid w:val="00D67DC5"/>
    <w:rsid w:val="00D73807"/>
    <w:rsid w:val="00D838C7"/>
    <w:rsid w:val="00DA7247"/>
    <w:rsid w:val="00E00504"/>
    <w:rsid w:val="00E11071"/>
    <w:rsid w:val="00E31F17"/>
    <w:rsid w:val="00E37AFC"/>
    <w:rsid w:val="00E609E1"/>
    <w:rsid w:val="00E71346"/>
    <w:rsid w:val="00E9697B"/>
    <w:rsid w:val="00EA5B62"/>
    <w:rsid w:val="00EB3A96"/>
    <w:rsid w:val="00ED4C9C"/>
    <w:rsid w:val="00EF52E5"/>
    <w:rsid w:val="00F01CE5"/>
    <w:rsid w:val="00F15089"/>
    <w:rsid w:val="00F27B73"/>
    <w:rsid w:val="00F428B1"/>
    <w:rsid w:val="00F62412"/>
    <w:rsid w:val="00F62602"/>
    <w:rsid w:val="00F9598C"/>
    <w:rsid w:val="00F9699E"/>
    <w:rsid w:val="00FB0623"/>
    <w:rsid w:val="00FB102C"/>
    <w:rsid w:val="090645ED"/>
    <w:rsid w:val="18E08F3E"/>
    <w:rsid w:val="32E1D637"/>
    <w:rsid w:val="61AA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8CA85"/>
  <w15:docId w15:val="{BC7390A1-2A98-440E-89C5-102BF55D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paragraph" w:styleId="Revize">
    <w:name w:val="Revision"/>
    <w:hidden/>
    <w:uiPriority w:val="99"/>
    <w:semiHidden/>
    <w:rsid w:val="0065409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05145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6F13A-D89D-4E03-8B38-FF23A14D0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EB1950-E1CE-4753-9DCF-AD2A158562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A3990-13AF-4C46-A6CD-DBB2224DEC4D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customXml/itemProps4.xml><?xml version="1.0" encoding="utf-8"?>
<ds:datastoreItem xmlns:ds="http://schemas.openxmlformats.org/officeDocument/2006/customXml" ds:itemID="{81C5371F-1B2E-453D-A02E-8C150501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1358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3</cp:revision>
  <dcterms:created xsi:type="dcterms:W3CDTF">2025-04-14T09:01:00Z</dcterms:created>
  <dcterms:modified xsi:type="dcterms:W3CDTF">2025-04-29T11:04:00Z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