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089" w14:textId="1FCBC7F4" w:rsidR="00000000" w:rsidRPr="00E201F4" w:rsidRDefault="00E72596" w:rsidP="004625EF">
      <w:pPr>
        <w:pStyle w:val="Nadpis1"/>
        <w:jc w:val="center"/>
        <w:rPr>
          <w:rFonts w:cs="Arial"/>
          <w:sz w:val="32"/>
          <w:szCs w:val="32"/>
        </w:rPr>
      </w:pPr>
      <w:r w:rsidRPr="00E201F4">
        <w:rPr>
          <w:rFonts w:cs="Arial"/>
          <w:sz w:val="32"/>
          <w:szCs w:val="32"/>
        </w:rPr>
        <w:t xml:space="preserve">Příloha </w:t>
      </w:r>
      <w:r w:rsidR="004326D9" w:rsidRPr="00E201F4">
        <w:rPr>
          <w:rFonts w:cs="Arial"/>
          <w:sz w:val="32"/>
          <w:szCs w:val="32"/>
        </w:rPr>
        <w:t>č.</w:t>
      </w:r>
      <w:r w:rsidR="00040268" w:rsidRPr="00E201F4">
        <w:rPr>
          <w:rFonts w:cs="Arial"/>
          <w:sz w:val="32"/>
          <w:szCs w:val="32"/>
        </w:rPr>
        <w:t xml:space="preserve"> </w:t>
      </w:r>
      <w:r w:rsidR="004326D9" w:rsidRPr="00E201F4">
        <w:rPr>
          <w:rFonts w:cs="Arial"/>
          <w:sz w:val="32"/>
          <w:szCs w:val="32"/>
        </w:rPr>
        <w:t xml:space="preserve">3 </w:t>
      </w:r>
      <w:r w:rsidR="00465000" w:rsidRPr="00E201F4">
        <w:rPr>
          <w:rFonts w:cs="Arial"/>
          <w:sz w:val="32"/>
          <w:szCs w:val="32"/>
        </w:rPr>
        <w:t>–</w:t>
      </w:r>
      <w:r w:rsidR="004326D9" w:rsidRPr="00E201F4">
        <w:rPr>
          <w:rFonts w:cs="Arial"/>
          <w:sz w:val="32"/>
          <w:szCs w:val="32"/>
        </w:rPr>
        <w:t xml:space="preserve"> Katalog Aplikací</w:t>
      </w:r>
    </w:p>
    <w:p w14:paraId="6B0B01FB" w14:textId="77777777" w:rsidR="00F9699E" w:rsidRPr="00E201F4" w:rsidRDefault="00F9699E" w:rsidP="00F9699E">
      <w:pPr>
        <w:rPr>
          <w:rFonts w:cs="Arial"/>
          <w:sz w:val="22"/>
        </w:rPr>
      </w:pPr>
    </w:p>
    <w:tbl>
      <w:tblPr>
        <w:tblW w:w="1424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8"/>
        <w:gridCol w:w="1271"/>
        <w:gridCol w:w="6237"/>
        <w:gridCol w:w="1701"/>
        <w:gridCol w:w="1704"/>
        <w:gridCol w:w="1273"/>
      </w:tblGrid>
      <w:tr w:rsidR="001E7845" w:rsidRPr="002766E9" w14:paraId="110B16BA" w14:textId="77777777" w:rsidTr="001E7845">
        <w:trPr>
          <w:trHeight w:val="300"/>
          <w:tblHeader/>
          <w:jc w:val="center"/>
        </w:trPr>
        <w:tc>
          <w:tcPr>
            <w:tcW w:w="2058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271" w:type="dxa"/>
            <w:shd w:val="clear" w:color="auto" w:fill="808080" w:themeFill="background1" w:themeFillShade="80"/>
            <w:vAlign w:val="center"/>
            <w:hideMark/>
          </w:tcPr>
          <w:p w14:paraId="686D0DE2" w14:textId="6ABA44BA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6237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1701" w:type="dxa"/>
            <w:shd w:val="clear" w:color="auto" w:fill="808080" w:themeFill="background1" w:themeFillShade="80"/>
            <w:vAlign w:val="center"/>
          </w:tcPr>
          <w:p w14:paraId="22E101CC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704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273" w:type="dxa"/>
            <w:shd w:val="clear" w:color="auto" w:fill="808080" w:themeFill="background1" w:themeFillShade="80"/>
            <w:vAlign w:val="center"/>
            <w:hideMark/>
          </w:tcPr>
          <w:p w14:paraId="254988A0" w14:textId="3F1CB293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1E7845" w:rsidRPr="002766E9" w14:paraId="4A998A92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65E86484" w14:textId="707401E0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správu čipových karet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F650B26" w14:textId="53F4AAC8" w:rsidR="001E7845" w:rsidRPr="002766E9" w:rsidRDefault="001E7845" w:rsidP="006E0EC0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ASČ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697990" w14:textId="10603861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generování přístupových karet.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694B1A" w14:textId="565F9E3B" w:rsidR="001E7845" w:rsidRPr="002766E9" w:rsidRDefault="001E7845" w:rsidP="00057B0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72EA5C" w14:textId="3785615B" w:rsidR="001E7845" w:rsidRPr="002766E9" w:rsidRDefault="00D96E72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Tenký</w:t>
            </w:r>
            <w:r w:rsidR="001E7845" w:rsidRPr="002766E9">
              <w:rPr>
                <w:rFonts w:eastAsia="Arial" w:cs="Arial"/>
                <w:sz w:val="18"/>
                <w:szCs w:val="18"/>
              </w:rPr>
              <w:t xml:space="preserve">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8958198" w14:textId="6DA70B75" w:rsidR="001E7845" w:rsidRPr="002766E9" w:rsidRDefault="001E7845" w:rsidP="006E0EC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0DE336DA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1371C872" w14:textId="5F2AF8E5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Portál dopravce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F236AAD" w14:textId="12611918" w:rsidR="001E7845" w:rsidRPr="002766E9" w:rsidRDefault="001E7845" w:rsidP="006E0EC0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PD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C0173C" w14:textId="52F4FA0A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Webová aplikace pro podávání a správu žádostí o registraci cisternového vozidla v systému MARS.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482EF7" w14:textId="79315FA8" w:rsidR="001E7845" w:rsidRPr="002766E9" w:rsidRDefault="001E7845" w:rsidP="00057B0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>
              <w:rPr>
                <w:rFonts w:eastAsia="Arial" w:cs="Arial"/>
                <w:sz w:val="18"/>
                <w:szCs w:val="18"/>
              </w:rPr>
              <w:t>MSSQL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3E8F38" w14:textId="17F0D60D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Webová aplikace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096137" w14:textId="7DEF0F36" w:rsidR="001E7845" w:rsidRPr="002766E9" w:rsidRDefault="001E7845" w:rsidP="006E0EC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ANO</w:t>
            </w:r>
          </w:p>
        </w:tc>
      </w:tr>
      <w:tr w:rsidR="001E7845" w:rsidRPr="002766E9" w14:paraId="542E8277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6744BF64" w14:textId="618DD9C6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TruckRegister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36F3D5D" w14:textId="1E671EF2" w:rsidR="001E7845" w:rsidRPr="002766E9" w:rsidRDefault="001E7845" w:rsidP="006E0EC0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TR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91F10C" w14:textId="03EBD25A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Interní webová aplikace pro editaci údajů o vozidlech pro systém MARS.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95884" w14:textId="08F17933" w:rsidR="001E7845" w:rsidRPr="002766E9" w:rsidRDefault="001E7845" w:rsidP="00057B0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257CDF" w14:textId="32C35D57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Webová aplikace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4344457" w14:textId="20A40775" w:rsidR="001E7845" w:rsidRPr="002766E9" w:rsidRDefault="001E7845" w:rsidP="006E0EC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ANO</w:t>
            </w:r>
          </w:p>
        </w:tc>
      </w:tr>
      <w:tr w:rsidR="001E7845" w:rsidRPr="002766E9" w14:paraId="4A0FABE3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510A6EAB" w14:textId="5CCAA435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>Em</w:t>
            </w:r>
            <w:r>
              <w:rPr>
                <w:rFonts w:eastAsia="Arial" w:cs="Arial"/>
                <w:sz w:val="18"/>
                <w:szCs w:val="18"/>
              </w:rPr>
              <w:t>isní protokoly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60650D7" w14:textId="59FA6CDF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EM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58167C" w14:textId="772F9647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vystavování protokolů Proof of Sustainability.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A517E0" w14:textId="7777777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4D63465F" w14:textId="1391F6C5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8F949B" w14:textId="61B4A9EC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345064E" w14:textId="41EEC871" w:rsidR="001E7845" w:rsidRPr="002766E9" w:rsidRDefault="00947581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ANO</w:t>
            </w:r>
          </w:p>
        </w:tc>
      </w:tr>
      <w:tr w:rsidR="001E7845" w:rsidRPr="002766E9" w14:paraId="7D794AE6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01022DAB" w14:textId="55A77FF5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>Bioredislokace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F0015E6" w14:textId="02BFEC8A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BIO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54DBFD" w14:textId="17E22481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sloužící pro práci s daty DNL (dodací nákladní list) a PHM (pohonných hmot).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9F2F72" w14:textId="7777777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0F886509" w14:textId="4AEC1D4D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98C1DD" w14:textId="5F2CFA99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55232F2" w14:textId="5B96A170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4ABC3ADC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7C32704F" w14:textId="3CBC2812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>SSHR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2828640" w14:textId="2CE42068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SSH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654C93" w14:textId="46BC085A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vytváření hromadných SSHR dokladů.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9944FB" w14:textId="7777777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0D3758AE" w14:textId="30F81452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51C44F" w14:textId="38305E0A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EE4CDEA" w14:textId="32946DB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2D018012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51B6A47C" w14:textId="127AC831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 xml:space="preserve">Správa certifikátů pro EMCS 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BD00B7A" w14:textId="05BF00EA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EMCS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54C2A" w14:textId="55D50E52" w:rsidR="001E7845" w:rsidRPr="002766E9" w:rsidRDefault="004D4E6C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4D4E6C">
              <w:rPr>
                <w:rFonts w:eastAsia="Arial" w:cs="Arial"/>
                <w:sz w:val="18"/>
                <w:szCs w:val="18"/>
              </w:rPr>
              <w:t>Aplikace pro správu certifikátů pro aplikaci EMCS celní správy(aplikace třetí strany).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57E969" w14:textId="18775B7F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ASP2 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A22841" w14:textId="4B422D7E" w:rsidR="001E7845" w:rsidRPr="002766E9" w:rsidRDefault="00956A22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Tenký</w:t>
            </w:r>
            <w:r w:rsidR="001E7845" w:rsidRPr="002766E9">
              <w:rPr>
                <w:rFonts w:eastAsia="Arial" w:cs="Arial"/>
                <w:sz w:val="18"/>
                <w:szCs w:val="18"/>
              </w:rPr>
              <w:t xml:space="preserve"> </w:t>
            </w:r>
            <w:r w:rsidR="002D67B5">
              <w:rPr>
                <w:rFonts w:eastAsia="Arial" w:cs="Arial"/>
                <w:sz w:val="18"/>
                <w:szCs w:val="18"/>
              </w:rPr>
              <w:t>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0EF078D" w14:textId="67F610CE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1D3BA99F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234AA249" w14:textId="43C9025A" w:rsidR="001E7845" w:rsidRPr="002766E9" w:rsidRDefault="001E7845" w:rsidP="00276DB7">
            <w:pPr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Webové služby / API  rozhraní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E594769" w14:textId="7719D78E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WSAPI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AA78B9" w14:textId="13AA1454" w:rsidR="001E7845" w:rsidRPr="002766E9" w:rsidRDefault="001E7845" w:rsidP="00276DB7">
            <w:pPr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API Mcontrol</w:t>
            </w:r>
          </w:p>
          <w:p w14:paraId="31C1AEE8" w14:textId="39CA77B2" w:rsidR="001E7845" w:rsidRPr="002766E9" w:rsidRDefault="001E7845" w:rsidP="00276DB7">
            <w:pPr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Cepro.adr.api,</w:t>
            </w:r>
          </w:p>
          <w:p w14:paraId="014C8CA3" w14:textId="1C0DD978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Certificatemng.api,</w:t>
            </w:r>
          </w:p>
          <w:p w14:paraId="159F8898" w14:textId="4879D503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Certwholesaleysservice,</w:t>
            </w:r>
          </w:p>
          <w:p w14:paraId="43301BAE" w14:textId="6D9759B0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Efaappservice,</w:t>
            </w:r>
          </w:p>
          <w:p w14:paraId="67477A40" w14:textId="12F4EF1F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Emiseservice,</w:t>
            </w:r>
          </w:p>
          <w:p w14:paraId="1EDDAB8A" w14:textId="690B21BF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Mailerservice,</w:t>
            </w:r>
          </w:p>
          <w:p w14:paraId="2B733C21" w14:textId="0F04EB18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spz</w:t>
            </w:r>
          </w:p>
          <w:p w14:paraId="4CCDC8B5" w14:textId="239DA56A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sshrservice</w:t>
            </w:r>
          </w:p>
          <w:p w14:paraId="6330191E" w14:textId="5DB3862A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talgo.cprcards.api</w:t>
            </w:r>
          </w:p>
          <w:p w14:paraId="1B1BFC3E" w14:textId="0DADD3B7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tenderappservice</w:t>
            </w:r>
          </w:p>
          <w:p w14:paraId="5A6C8A73" w14:textId="508F4023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transportappservice</w:t>
            </w:r>
          </w:p>
          <w:p w14:paraId="377728D1" w14:textId="7165BBDB" w:rsidR="001D1C1D" w:rsidRPr="001D1C1D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lastRenderedPageBreak/>
              <w:t>transportappserviceexp</w:t>
            </w:r>
          </w:p>
          <w:p w14:paraId="068E48A8" w14:textId="65BBA447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truckregister</w:t>
            </w:r>
          </w:p>
          <w:p w14:paraId="66B5D018" w14:textId="3F6CB9A2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wcfservices</w:t>
            </w:r>
          </w:p>
          <w:p w14:paraId="2C9A055D" w14:textId="6B55549F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Wcfservices2</w:t>
            </w:r>
          </w:p>
          <w:p w14:paraId="14630DDE" w14:textId="30473587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Webservices</w:t>
            </w:r>
          </w:p>
          <w:p w14:paraId="1D9DA1E9" w14:textId="327088E2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Webservices2</w:t>
            </w:r>
          </w:p>
          <w:p w14:paraId="6E6C8E2B" w14:textId="06BBA0F1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Webservices3</w:t>
            </w:r>
          </w:p>
          <w:p w14:paraId="2A47AE59" w14:textId="43511F98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MARSAPI na truckregisteru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40C7A1" w14:textId="337C056D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lastRenderedPageBreak/>
              <w:t>.NET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5CA562" w14:textId="08FE71C5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Služba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088A7EA" w14:textId="0073EA7C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35C9A6B9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54D6DC73" w14:textId="6DB82CD4" w:rsidR="001E7845" w:rsidRPr="002766E9" w:rsidRDefault="001E7845" w:rsidP="00276DB7">
            <w:pPr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Windows služby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BB4D680" w14:textId="0C9837DC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WINS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4914C6" w14:textId="77777777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 xml:space="preserve">MARSServices, </w:t>
            </w:r>
          </w:p>
          <w:p w14:paraId="44B6D355" w14:textId="77777777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 xml:space="preserve">Customer.Services, </w:t>
            </w:r>
          </w:p>
          <w:p w14:paraId="189A9E12" w14:textId="77777777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Bank.data.Service,</w:t>
            </w:r>
          </w:p>
          <w:p w14:paraId="70420454" w14:textId="1714163E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bioredisservice</w:t>
            </w:r>
          </w:p>
          <w:p w14:paraId="19B884BA" w14:textId="64C7198F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Cepro.Bartec.Service</w:t>
            </w:r>
          </w:p>
          <w:p w14:paraId="0C3CBD4B" w14:textId="7174261A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Cepro.CertificateMng.Service</w:t>
            </w:r>
          </w:p>
          <w:p w14:paraId="04DBF070" w14:textId="0F196C5D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Cepro.CertWholesale.Service</w:t>
            </w:r>
          </w:p>
          <w:p w14:paraId="31A567D4" w14:textId="13D659F9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Cepro.CertWholesale.WebEye.Service</w:t>
            </w:r>
          </w:p>
          <w:p w14:paraId="54E2B80F" w14:textId="6B06B9B8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Cepro.CertWholesale.WebEye.ServiceCheck</w:t>
            </w:r>
          </w:p>
          <w:p w14:paraId="6BC478E3" w14:textId="382934AA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Cepro.Comin.Service</w:t>
            </w:r>
          </w:p>
          <w:p w14:paraId="1FAAC6CA" w14:textId="6BD14935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Cepro.Csob.Myto.Service</w:t>
            </w:r>
          </w:p>
          <w:p w14:paraId="6B5DA01D" w14:textId="2C9B8A4B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Cepro.Dph.Service</w:t>
            </w:r>
          </w:p>
          <w:p w14:paraId="3F58B69A" w14:textId="39C84262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Cepro.Drivers.Cards.Service</w:t>
            </w:r>
          </w:p>
          <w:p w14:paraId="4D82BE68" w14:textId="02A36947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Cepro.Emcs.WsMining.Service</w:t>
            </w:r>
          </w:p>
          <w:p w14:paraId="5588C792" w14:textId="0FCEF950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Cepro.Factoring2.Service</w:t>
            </w:r>
          </w:p>
          <w:p w14:paraId="6914E536" w14:textId="3CF4D5AC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Cepro.Insolvencyservice</w:t>
            </w:r>
          </w:p>
          <w:p w14:paraId="3E5B3E6B" w14:textId="63834F70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Cepro.Mars.AuditData.Service</w:t>
            </w:r>
          </w:p>
          <w:p w14:paraId="2DB9F16A" w14:textId="6A3FDF20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Cepro.MarsLibs.Service</w:t>
            </w:r>
          </w:p>
          <w:p w14:paraId="66D477AC" w14:textId="7850A68F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Cepro.MarsLibs.Service2</w:t>
            </w:r>
          </w:p>
          <w:p w14:paraId="7A59DEEF" w14:textId="734135D6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Cepro.Monti.Report.Service</w:t>
            </w:r>
          </w:p>
          <w:p w14:paraId="581D9001" w14:textId="084CD839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Cepro.Omv.Iris.Service</w:t>
            </w:r>
          </w:p>
          <w:p w14:paraId="44E0BD44" w14:textId="1C9CB687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Cepro.Priloha14.Service</w:t>
            </w:r>
          </w:p>
          <w:p w14:paraId="773A190C" w14:textId="715707A5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Cepro.Shell.Service</w:t>
            </w:r>
          </w:p>
          <w:p w14:paraId="0892A405" w14:textId="5AFEDC32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Cepro.Slovnaft.Service</w:t>
            </w:r>
          </w:p>
          <w:p w14:paraId="2053C6EC" w14:textId="53DA1D6C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Cepro.Sshr.Automat</w:t>
            </w:r>
          </w:p>
          <w:p w14:paraId="291C0E6F" w14:textId="5EF75EC5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Cepro.WebEye.Harvester.Service</w:t>
            </w:r>
          </w:p>
          <w:p w14:paraId="4DF12AAD" w14:textId="23A4D0FB" w:rsidR="001E7845" w:rsidRPr="002766E9" w:rsidRDefault="001E7845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Cepro.WebEye.Harvester.Service</w:t>
            </w:r>
          </w:p>
          <w:p w14:paraId="63991BE4" w14:textId="3C2D5985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YS.Carcam</w:t>
            </w:r>
          </w:p>
          <w:p w14:paraId="4F46B735" w14:textId="7B2F4D5F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Cepro.UNIPETROL</w:t>
            </w:r>
          </w:p>
          <w:p w14:paraId="6D57121A" w14:textId="77777777" w:rsidR="001E7845" w:rsidRDefault="001E7845" w:rsidP="00276DB7">
            <w:pPr>
              <w:spacing w:before="60" w:after="60"/>
              <w:rPr>
                <w:rFonts w:eastAsia="Verdana" w:cs="Arial"/>
                <w:color w:val="333333"/>
                <w:sz w:val="18"/>
                <w:szCs w:val="18"/>
              </w:rPr>
            </w:pPr>
            <w:r w:rsidRPr="002766E9">
              <w:rPr>
                <w:rFonts w:eastAsia="Verdana" w:cs="Arial"/>
                <w:color w:val="333333"/>
                <w:sz w:val="18"/>
                <w:szCs w:val="18"/>
              </w:rPr>
              <w:t>CarrierPortalServices</w:t>
            </w:r>
          </w:p>
          <w:p w14:paraId="50872D20" w14:textId="02979D80" w:rsidR="001D1C1D" w:rsidRPr="002766E9" w:rsidRDefault="001D1C1D" w:rsidP="00276DB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D1C1D">
              <w:rPr>
                <w:rFonts w:cs="Arial"/>
                <w:sz w:val="18"/>
                <w:szCs w:val="18"/>
              </w:rPr>
              <w:t>Cepro.EMCS.Vvan.Service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CEDA67" w14:textId="77036238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5336F4" w14:textId="208510B9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Služba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3D58FA1" w14:textId="79F74247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</w:tbl>
    <w:p w14:paraId="718FEA68" w14:textId="77777777" w:rsidR="004326D9" w:rsidRPr="00E201F4" w:rsidRDefault="004326D9" w:rsidP="00F9699E">
      <w:pPr>
        <w:rPr>
          <w:rFonts w:cs="Arial"/>
          <w:sz w:val="22"/>
        </w:rPr>
      </w:pPr>
    </w:p>
    <w:p w14:paraId="39207E35" w14:textId="77777777" w:rsidR="004326D9" w:rsidRPr="00E201F4" w:rsidRDefault="004326D9" w:rsidP="00F9699E">
      <w:pPr>
        <w:rPr>
          <w:rFonts w:cs="Arial"/>
          <w:sz w:val="22"/>
        </w:rPr>
      </w:pPr>
    </w:p>
    <w:p w14:paraId="63098337" w14:textId="77777777" w:rsidR="00132FFC" w:rsidRPr="00E201F4" w:rsidRDefault="00132FFC">
      <w:pPr>
        <w:rPr>
          <w:rFonts w:cs="Arial"/>
          <w:b/>
        </w:rPr>
      </w:pPr>
    </w:p>
    <w:sectPr w:rsidR="00132FFC" w:rsidRPr="00E201F4" w:rsidSect="00F9699E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5F9A8" w14:textId="77777777" w:rsidR="0053125C" w:rsidRDefault="0053125C" w:rsidP="00B45E24">
      <w:r>
        <w:separator/>
      </w:r>
    </w:p>
  </w:endnote>
  <w:endnote w:type="continuationSeparator" w:id="0">
    <w:p w14:paraId="1BFC25BD" w14:textId="77777777" w:rsidR="0053125C" w:rsidRDefault="0053125C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4265" w14:textId="77777777" w:rsidR="0053125C" w:rsidRDefault="0053125C" w:rsidP="00B45E24">
      <w:r>
        <w:separator/>
      </w:r>
    </w:p>
  </w:footnote>
  <w:footnote w:type="continuationSeparator" w:id="0">
    <w:p w14:paraId="692EDC5D" w14:textId="77777777" w:rsidR="0053125C" w:rsidRDefault="0053125C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B06DD4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B06DD4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</w:p>
  <w:p w14:paraId="74BF7202" w14:textId="646198B7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</w:t>
    </w:r>
    <w:r w:rsidR="00D1653F" w:rsidRPr="00D1653F">
      <w:rPr>
        <w:sz w:val="16"/>
        <w:szCs w:val="16"/>
      </w:rPr>
      <w:t xml:space="preserve">podpory, údržby a rozvoje aplikací </w:t>
    </w:r>
    <w:r w:rsidR="002944CE">
      <w:rPr>
        <w:sz w:val="16"/>
        <w:szCs w:val="16"/>
      </w:rPr>
      <w:t>na platformě .NET</w:t>
    </w:r>
    <w:r w:rsidR="00B45E24" w:rsidRPr="00324977">
      <w:rPr>
        <w:sz w:val="16"/>
        <w:szCs w:val="16"/>
      </w:rPr>
      <w:tab/>
    </w:r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662898F0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27812873">
    <w:abstractNumId w:val="5"/>
  </w:num>
  <w:num w:numId="2" w16cid:durableId="1283266535">
    <w:abstractNumId w:val="8"/>
  </w:num>
  <w:num w:numId="3" w16cid:durableId="388923336">
    <w:abstractNumId w:val="2"/>
  </w:num>
  <w:num w:numId="4" w16cid:durableId="2114324233">
    <w:abstractNumId w:val="9"/>
  </w:num>
  <w:num w:numId="5" w16cid:durableId="1546672452">
    <w:abstractNumId w:val="1"/>
  </w:num>
  <w:num w:numId="6" w16cid:durableId="588466517">
    <w:abstractNumId w:val="4"/>
  </w:num>
  <w:num w:numId="7" w16cid:durableId="1633250527">
    <w:abstractNumId w:val="3"/>
  </w:num>
  <w:num w:numId="8" w16cid:durableId="1321930760">
    <w:abstractNumId w:val="4"/>
  </w:num>
  <w:num w:numId="9" w16cid:durableId="1502695410">
    <w:abstractNumId w:val="7"/>
  </w:num>
  <w:num w:numId="10" w16cid:durableId="715003750">
    <w:abstractNumId w:val="6"/>
  </w:num>
  <w:num w:numId="11" w16cid:durableId="2071072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300C"/>
    <w:rsid w:val="00040268"/>
    <w:rsid w:val="00047A37"/>
    <w:rsid w:val="00050082"/>
    <w:rsid w:val="00057B00"/>
    <w:rsid w:val="000E3DEF"/>
    <w:rsid w:val="000F6601"/>
    <w:rsid w:val="001029D1"/>
    <w:rsid w:val="00111B4B"/>
    <w:rsid w:val="00132FFC"/>
    <w:rsid w:val="00145ED6"/>
    <w:rsid w:val="00146818"/>
    <w:rsid w:val="001A790F"/>
    <w:rsid w:val="001D1C1D"/>
    <w:rsid w:val="001E208C"/>
    <w:rsid w:val="001E7845"/>
    <w:rsid w:val="002058AE"/>
    <w:rsid w:val="00210B74"/>
    <w:rsid w:val="0022653F"/>
    <w:rsid w:val="002678DA"/>
    <w:rsid w:val="002728C5"/>
    <w:rsid w:val="00274955"/>
    <w:rsid w:val="002766E9"/>
    <w:rsid w:val="00276856"/>
    <w:rsid w:val="00276DB7"/>
    <w:rsid w:val="00287989"/>
    <w:rsid w:val="002944CE"/>
    <w:rsid w:val="0029701E"/>
    <w:rsid w:val="002B4DBD"/>
    <w:rsid w:val="002D67B5"/>
    <w:rsid w:val="00386B57"/>
    <w:rsid w:val="0039448C"/>
    <w:rsid w:val="00400C15"/>
    <w:rsid w:val="004064C3"/>
    <w:rsid w:val="004172A2"/>
    <w:rsid w:val="00420042"/>
    <w:rsid w:val="004326D9"/>
    <w:rsid w:val="004625EF"/>
    <w:rsid w:val="00463098"/>
    <w:rsid w:val="00465000"/>
    <w:rsid w:val="00473F96"/>
    <w:rsid w:val="004A3401"/>
    <w:rsid w:val="004B06EA"/>
    <w:rsid w:val="004D4E6C"/>
    <w:rsid w:val="0053125C"/>
    <w:rsid w:val="00545704"/>
    <w:rsid w:val="00565E0B"/>
    <w:rsid w:val="00586D01"/>
    <w:rsid w:val="005A1A53"/>
    <w:rsid w:val="005B27B3"/>
    <w:rsid w:val="005B5CB3"/>
    <w:rsid w:val="005C38E8"/>
    <w:rsid w:val="005E1577"/>
    <w:rsid w:val="006034A4"/>
    <w:rsid w:val="006117BB"/>
    <w:rsid w:val="00613D38"/>
    <w:rsid w:val="0063237B"/>
    <w:rsid w:val="006432CE"/>
    <w:rsid w:val="006567E5"/>
    <w:rsid w:val="00673271"/>
    <w:rsid w:val="006B33D1"/>
    <w:rsid w:val="006B3A8A"/>
    <w:rsid w:val="006D41F8"/>
    <w:rsid w:val="006E0EC0"/>
    <w:rsid w:val="006E6494"/>
    <w:rsid w:val="007235AE"/>
    <w:rsid w:val="00740DBD"/>
    <w:rsid w:val="00752112"/>
    <w:rsid w:val="0076707D"/>
    <w:rsid w:val="007848EC"/>
    <w:rsid w:val="007A5E06"/>
    <w:rsid w:val="007C78A3"/>
    <w:rsid w:val="007D6882"/>
    <w:rsid w:val="008A2EF5"/>
    <w:rsid w:val="008F75BE"/>
    <w:rsid w:val="009232A2"/>
    <w:rsid w:val="0094003F"/>
    <w:rsid w:val="00944F8C"/>
    <w:rsid w:val="00947581"/>
    <w:rsid w:val="00956A22"/>
    <w:rsid w:val="00996806"/>
    <w:rsid w:val="009B0C42"/>
    <w:rsid w:val="009B7679"/>
    <w:rsid w:val="009F1E2B"/>
    <w:rsid w:val="009F6BF7"/>
    <w:rsid w:val="00A24D98"/>
    <w:rsid w:val="00A36BBF"/>
    <w:rsid w:val="00A371F7"/>
    <w:rsid w:val="00A37A4E"/>
    <w:rsid w:val="00A757FF"/>
    <w:rsid w:val="00AA03D1"/>
    <w:rsid w:val="00B01C1C"/>
    <w:rsid w:val="00B059EB"/>
    <w:rsid w:val="00B06DD4"/>
    <w:rsid w:val="00B36E48"/>
    <w:rsid w:val="00B45E24"/>
    <w:rsid w:val="00BA0CC2"/>
    <w:rsid w:val="00BC7950"/>
    <w:rsid w:val="00BE34C0"/>
    <w:rsid w:val="00C0122E"/>
    <w:rsid w:val="00C02703"/>
    <w:rsid w:val="00C2185D"/>
    <w:rsid w:val="00C220AD"/>
    <w:rsid w:val="00C505A3"/>
    <w:rsid w:val="00C73314"/>
    <w:rsid w:val="00C85107"/>
    <w:rsid w:val="00C96A32"/>
    <w:rsid w:val="00CA1497"/>
    <w:rsid w:val="00CA1B8D"/>
    <w:rsid w:val="00CA6C3D"/>
    <w:rsid w:val="00CB5F2F"/>
    <w:rsid w:val="00CB6335"/>
    <w:rsid w:val="00CF0CD9"/>
    <w:rsid w:val="00D06221"/>
    <w:rsid w:val="00D1653F"/>
    <w:rsid w:val="00D67DC5"/>
    <w:rsid w:val="00D96E72"/>
    <w:rsid w:val="00DD3B69"/>
    <w:rsid w:val="00DE3CB4"/>
    <w:rsid w:val="00E201F4"/>
    <w:rsid w:val="00E44571"/>
    <w:rsid w:val="00E52EC6"/>
    <w:rsid w:val="00E5688E"/>
    <w:rsid w:val="00E72596"/>
    <w:rsid w:val="00E84542"/>
    <w:rsid w:val="00EF43C3"/>
    <w:rsid w:val="00EF52E5"/>
    <w:rsid w:val="00F15089"/>
    <w:rsid w:val="00F16A1C"/>
    <w:rsid w:val="00F17779"/>
    <w:rsid w:val="00F1794E"/>
    <w:rsid w:val="00F70FE5"/>
    <w:rsid w:val="00F9699E"/>
    <w:rsid w:val="00FA4FB3"/>
    <w:rsid w:val="00FC480A"/>
    <w:rsid w:val="00FE076E"/>
    <w:rsid w:val="00FF594F"/>
    <w:rsid w:val="03432940"/>
    <w:rsid w:val="04B3176C"/>
    <w:rsid w:val="067D00B5"/>
    <w:rsid w:val="082158D7"/>
    <w:rsid w:val="0BBAFA15"/>
    <w:rsid w:val="0CA821DC"/>
    <w:rsid w:val="0CC40B0F"/>
    <w:rsid w:val="0E2AADB0"/>
    <w:rsid w:val="0F7DC32A"/>
    <w:rsid w:val="109DA5AB"/>
    <w:rsid w:val="162EF320"/>
    <w:rsid w:val="16613A62"/>
    <w:rsid w:val="194966F9"/>
    <w:rsid w:val="1A7CE6E7"/>
    <w:rsid w:val="1AB957B1"/>
    <w:rsid w:val="1C4066EA"/>
    <w:rsid w:val="1E521D33"/>
    <w:rsid w:val="22AB8E13"/>
    <w:rsid w:val="24657E04"/>
    <w:rsid w:val="2568E837"/>
    <w:rsid w:val="25796570"/>
    <w:rsid w:val="2716501F"/>
    <w:rsid w:val="2AE61082"/>
    <w:rsid w:val="2EF2B0CF"/>
    <w:rsid w:val="2F8872E7"/>
    <w:rsid w:val="32652FA5"/>
    <w:rsid w:val="3544BC2D"/>
    <w:rsid w:val="35532D8A"/>
    <w:rsid w:val="3935A534"/>
    <w:rsid w:val="39A715B7"/>
    <w:rsid w:val="3A6477A2"/>
    <w:rsid w:val="3CA8CF52"/>
    <w:rsid w:val="3DC36F4A"/>
    <w:rsid w:val="40655224"/>
    <w:rsid w:val="40996724"/>
    <w:rsid w:val="40A36355"/>
    <w:rsid w:val="413942BF"/>
    <w:rsid w:val="4603FD94"/>
    <w:rsid w:val="4A0824BD"/>
    <w:rsid w:val="4A2A3D20"/>
    <w:rsid w:val="4BC8BFBA"/>
    <w:rsid w:val="4D1F3485"/>
    <w:rsid w:val="4FCBE4F6"/>
    <w:rsid w:val="50AA6C30"/>
    <w:rsid w:val="51352E83"/>
    <w:rsid w:val="527398CE"/>
    <w:rsid w:val="529536FA"/>
    <w:rsid w:val="551FD3B4"/>
    <w:rsid w:val="5A3E88A2"/>
    <w:rsid w:val="5BA9DA30"/>
    <w:rsid w:val="6A518FC2"/>
    <w:rsid w:val="6C24BF37"/>
    <w:rsid w:val="6F3F894D"/>
    <w:rsid w:val="70220932"/>
    <w:rsid w:val="78AA5396"/>
    <w:rsid w:val="7C0C9771"/>
    <w:rsid w:val="7D0C0595"/>
    <w:rsid w:val="7FC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B3E8F"/>
  <w15:docId w15:val="{B6DA9DF3-87E1-48E0-B087-98307F54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7029-B502-4313-AB25-53125A19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75</cp:revision>
  <dcterms:created xsi:type="dcterms:W3CDTF">2020-05-04T16:17:00Z</dcterms:created>
  <dcterms:modified xsi:type="dcterms:W3CDTF">2024-02-28T15:36:00Z</dcterms:modified>
</cp:coreProperties>
</file>