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4E2F8" w14:textId="4EB42E41" w:rsidR="00564996" w:rsidRDefault="00564996" w:rsidP="00564996">
      <w:pPr>
        <w:jc w:val="center"/>
        <w:rPr>
          <w:b/>
          <w:color w:val="C00000"/>
          <w:sz w:val="22"/>
          <w:szCs w:val="22"/>
        </w:rPr>
      </w:pPr>
      <w:r w:rsidRPr="00564996">
        <w:rPr>
          <w:b/>
          <w:color w:val="C00000"/>
          <w:sz w:val="22"/>
          <w:szCs w:val="22"/>
        </w:rPr>
        <w:t xml:space="preserve">Příloha č. 3 </w:t>
      </w:r>
      <w:r>
        <w:rPr>
          <w:b/>
          <w:color w:val="C00000"/>
          <w:sz w:val="22"/>
          <w:szCs w:val="22"/>
        </w:rPr>
        <w:t xml:space="preserve">ZD č.: </w:t>
      </w:r>
      <w:r w:rsidR="003F17B5">
        <w:rPr>
          <w:b/>
          <w:color w:val="C00000"/>
          <w:sz w:val="22"/>
          <w:szCs w:val="22"/>
        </w:rPr>
        <w:t xml:space="preserve"> 039/25/OCN</w:t>
      </w:r>
    </w:p>
    <w:p w14:paraId="6F6D7558" w14:textId="77777777" w:rsidR="003F17B5" w:rsidRDefault="003F17B5" w:rsidP="00564996">
      <w:pPr>
        <w:jc w:val="center"/>
        <w:rPr>
          <w:b/>
          <w:color w:val="C00000"/>
          <w:sz w:val="22"/>
          <w:szCs w:val="22"/>
        </w:rPr>
      </w:pPr>
    </w:p>
    <w:p w14:paraId="6623AE15" w14:textId="4CB32083" w:rsidR="00564996" w:rsidRPr="00564996" w:rsidRDefault="00564996" w:rsidP="00564996">
      <w:pPr>
        <w:jc w:val="center"/>
        <w:rPr>
          <w:b/>
          <w:color w:val="002060"/>
          <w:sz w:val="28"/>
          <w:szCs w:val="28"/>
        </w:rPr>
      </w:pPr>
      <w:r w:rsidRPr="003F17B5">
        <w:rPr>
          <w:b/>
          <w:color w:val="002060"/>
          <w:sz w:val="28"/>
          <w:szCs w:val="28"/>
          <w:highlight w:val="green"/>
        </w:rPr>
        <w:t xml:space="preserve">„Operativní leasing </w:t>
      </w:r>
      <w:r w:rsidR="003F17B5">
        <w:rPr>
          <w:b/>
          <w:color w:val="002060"/>
          <w:sz w:val="28"/>
          <w:szCs w:val="28"/>
          <w:highlight w:val="green"/>
        </w:rPr>
        <w:t xml:space="preserve">osmi </w:t>
      </w:r>
      <w:r w:rsidRPr="003F17B5">
        <w:rPr>
          <w:b/>
          <w:color w:val="002060"/>
          <w:sz w:val="28"/>
          <w:szCs w:val="28"/>
          <w:highlight w:val="green"/>
        </w:rPr>
        <w:t>automobilových tahačů v ČEPRO, a.s</w:t>
      </w:r>
      <w:r w:rsidRPr="005E4918">
        <w:rPr>
          <w:b/>
          <w:color w:val="002060"/>
          <w:sz w:val="28"/>
          <w:szCs w:val="28"/>
          <w:highlight w:val="green"/>
        </w:rPr>
        <w:t>.“</w:t>
      </w:r>
      <w:r w:rsidR="005E4918" w:rsidRPr="005E4918">
        <w:rPr>
          <w:b/>
          <w:color w:val="002060"/>
          <w:sz w:val="28"/>
          <w:szCs w:val="28"/>
          <w:highlight w:val="green"/>
        </w:rPr>
        <w:t>, 2026</w:t>
      </w:r>
    </w:p>
    <w:p w14:paraId="1942956E" w14:textId="77777777" w:rsidR="00564996" w:rsidRDefault="00564996" w:rsidP="00564996">
      <w:pPr>
        <w:jc w:val="center"/>
        <w:rPr>
          <w:b/>
          <w:sz w:val="32"/>
          <w:szCs w:val="32"/>
        </w:rPr>
      </w:pPr>
    </w:p>
    <w:p w14:paraId="7E4B13EA" w14:textId="1E3B316D" w:rsidR="00277DA9" w:rsidRPr="00130263" w:rsidRDefault="00346972" w:rsidP="00564996">
      <w:pPr>
        <w:jc w:val="center"/>
        <w:rPr>
          <w:b/>
          <w:sz w:val="32"/>
          <w:szCs w:val="32"/>
        </w:rPr>
      </w:pPr>
      <w:r w:rsidRPr="00130263">
        <w:rPr>
          <w:b/>
          <w:sz w:val="32"/>
          <w:szCs w:val="32"/>
        </w:rPr>
        <w:t>Technická specifikace</w:t>
      </w:r>
      <w:r w:rsidR="00130263" w:rsidRPr="00130263">
        <w:rPr>
          <w:b/>
          <w:sz w:val="32"/>
          <w:szCs w:val="32"/>
        </w:rPr>
        <w:t xml:space="preserve"> </w:t>
      </w:r>
      <w:r w:rsidR="00DC5EAD">
        <w:rPr>
          <w:b/>
          <w:sz w:val="32"/>
          <w:szCs w:val="32"/>
        </w:rPr>
        <w:t>vozidel – tahačů</w:t>
      </w:r>
      <w:r w:rsidRPr="00130263">
        <w:rPr>
          <w:b/>
          <w:sz w:val="32"/>
          <w:szCs w:val="32"/>
        </w:rPr>
        <w:t xml:space="preserve"> návěsů:</w:t>
      </w:r>
    </w:p>
    <w:p w14:paraId="2147E2C8" w14:textId="77777777" w:rsidR="007F3A5B" w:rsidRDefault="007F3A5B" w:rsidP="006E686C"/>
    <w:p w14:paraId="5DD3E65A" w14:textId="77777777" w:rsidR="009A58CD" w:rsidRDefault="007F3A5B" w:rsidP="00027A42">
      <w:pPr>
        <w:ind w:firstLine="708"/>
        <w:jc w:val="both"/>
      </w:pPr>
      <w:r>
        <w:t xml:space="preserve">Tahač návěsů pro přepravu </w:t>
      </w:r>
      <w:r w:rsidR="005F1A95">
        <w:t>hořlavých</w:t>
      </w:r>
      <w:r>
        <w:t xml:space="preserve"> </w:t>
      </w:r>
      <w:r w:rsidR="00EE0578">
        <w:t>kapalin</w:t>
      </w:r>
      <w:r w:rsidR="001409AB">
        <w:t xml:space="preserve"> (</w:t>
      </w:r>
      <w:r w:rsidR="005F1A95">
        <w:t xml:space="preserve">současných kapalných </w:t>
      </w:r>
      <w:r w:rsidR="001409AB">
        <w:t>motorových paliv</w:t>
      </w:r>
      <w:r w:rsidR="005F1A95">
        <w:t xml:space="preserve"> včetně biopaliv</w:t>
      </w:r>
      <w:r w:rsidR="001409AB">
        <w:t>) Třídy</w:t>
      </w:r>
      <w:r w:rsidR="009A58CD">
        <w:t xml:space="preserve"> 3 </w:t>
      </w:r>
      <w:r w:rsidR="001409AB">
        <w:t>dle Dohody</w:t>
      </w:r>
      <w:r w:rsidR="009A58CD">
        <w:t xml:space="preserve"> ADR</w:t>
      </w:r>
      <w:r w:rsidR="00CB350A">
        <w:t xml:space="preserve"> – Evropská dohoda</w:t>
      </w:r>
      <w:r w:rsidR="00CB350A" w:rsidRPr="00CB350A">
        <w:t xml:space="preserve"> o mezinárodní silniční přepravě nebezpečných věc</w:t>
      </w:r>
      <w:r w:rsidR="00CB350A">
        <w:t>í,</w:t>
      </w:r>
      <w:r w:rsidR="001409AB">
        <w:t xml:space="preserve"> v platném znění</w:t>
      </w:r>
      <w:r w:rsidR="00CB350A">
        <w:t xml:space="preserve"> (dále též jen Dohoda ADR)</w:t>
      </w:r>
      <w:r>
        <w:t xml:space="preserve"> v</w:t>
      </w:r>
      <w:r w:rsidR="00566CB1">
        <w:t> </w:t>
      </w:r>
      <w:r w:rsidR="00027A42">
        <w:t>cisternách</w:t>
      </w:r>
      <w:r w:rsidR="00566CB1">
        <w:t>,</w:t>
      </w:r>
      <w:r w:rsidR="00027A42">
        <w:t xml:space="preserve"> pro provoz s cisternovými návěsy</w:t>
      </w:r>
      <w:r w:rsidR="00550AF5">
        <w:t xml:space="preserve"> typu LGBF</w:t>
      </w:r>
      <w:r w:rsidR="00027A42">
        <w:t xml:space="preserve">. </w:t>
      </w:r>
    </w:p>
    <w:p w14:paraId="2538E06A" w14:textId="77777777" w:rsidR="00CB350A" w:rsidRDefault="001409AB" w:rsidP="001409AB">
      <w:pPr>
        <w:ind w:firstLine="708"/>
        <w:jc w:val="both"/>
      </w:pPr>
      <w:r>
        <w:t>Vozidla</w:t>
      </w:r>
      <w:r w:rsidR="009A58CD">
        <w:t xml:space="preserve"> m</w:t>
      </w:r>
      <w:r w:rsidR="007F3A5B">
        <w:t xml:space="preserve">usí splňovat </w:t>
      </w:r>
      <w:r w:rsidR="009A58CD">
        <w:t xml:space="preserve">všechny </w:t>
      </w:r>
      <w:r w:rsidR="007F3A5B">
        <w:t>podmínky</w:t>
      </w:r>
      <w:r w:rsidR="009A58CD">
        <w:t xml:space="preserve"> konstrukce a vybavení</w:t>
      </w:r>
      <w:r w:rsidR="007F3A5B">
        <w:t xml:space="preserve"> </w:t>
      </w:r>
      <w:r w:rsidR="00EE0578">
        <w:t>dle Dohody ADR v platném znění</w:t>
      </w:r>
      <w:r w:rsidR="00CB350A">
        <w:t>, zejména</w:t>
      </w:r>
      <w:r w:rsidR="007F3A5B">
        <w:t xml:space="preserve"> </w:t>
      </w:r>
      <w:r w:rsidR="00130263">
        <w:t>uvedené</w:t>
      </w:r>
      <w:r w:rsidR="00EE0578">
        <w:t xml:space="preserve"> </w:t>
      </w:r>
      <w:r w:rsidR="00CB350A">
        <w:t xml:space="preserve">v přílohách A </w:t>
      </w:r>
      <w:proofErr w:type="spellStart"/>
      <w:r w:rsidR="00CB350A">
        <w:t>a</w:t>
      </w:r>
      <w:proofErr w:type="spellEnd"/>
      <w:r w:rsidR="00CB350A">
        <w:t xml:space="preserve"> B Dohody ADR </w:t>
      </w:r>
      <w:r w:rsidR="00EE0578">
        <w:t>v části 9, zejména</w:t>
      </w:r>
      <w:r w:rsidR="00130263">
        <w:t xml:space="preserve"> v kapitol</w:t>
      </w:r>
      <w:r w:rsidR="00EE0578">
        <w:t>ách</w:t>
      </w:r>
      <w:r w:rsidR="00130263">
        <w:t xml:space="preserve"> 9.1</w:t>
      </w:r>
      <w:r w:rsidR="007C25CB">
        <w:t xml:space="preserve"> a </w:t>
      </w:r>
      <w:r w:rsidR="00EE0578">
        <w:t>následujících</w:t>
      </w:r>
      <w:r w:rsidR="00CB350A">
        <w:t>, a</w:t>
      </w:r>
      <w:r w:rsidR="005F1A95">
        <w:t xml:space="preserve"> </w:t>
      </w:r>
      <w:r w:rsidR="00CB350A">
        <w:t>s</w:t>
      </w:r>
      <w:r w:rsidR="00EE0578">
        <w:t>oučasně i požadavky kapitol 8.1 a 8.5</w:t>
      </w:r>
      <w:r>
        <w:t xml:space="preserve"> téhož předpisu</w:t>
      </w:r>
      <w:r w:rsidR="005F1A95">
        <w:t>,</w:t>
      </w:r>
      <w:r>
        <w:t xml:space="preserve"> týkající se výbavy</w:t>
      </w:r>
      <w:r w:rsidR="00EE0578">
        <w:t xml:space="preserve"> vozid</w:t>
      </w:r>
      <w:r>
        <w:t>e</w:t>
      </w:r>
      <w:r w:rsidR="00EE0578">
        <w:t>l</w:t>
      </w:r>
      <w:r w:rsidR="00130263">
        <w:t>, kter</w:t>
      </w:r>
      <w:r w:rsidR="005F1A95">
        <w:t>á</w:t>
      </w:r>
      <w:r w:rsidR="00130263">
        <w:t xml:space="preserve"> j</w:t>
      </w:r>
      <w:r w:rsidR="005F1A95">
        <w:t>e nutná</w:t>
      </w:r>
      <w:r w:rsidR="00130263">
        <w:t xml:space="preserve"> pro provozování</w:t>
      </w:r>
      <w:r w:rsidR="005F1A95">
        <w:t xml:space="preserve"> automobilových cisteren dle ADR</w:t>
      </w:r>
      <w:r w:rsidR="00130263">
        <w:t xml:space="preserve"> v ČR a EU </w:t>
      </w:r>
      <w:r w:rsidR="005F1A95">
        <w:t xml:space="preserve">v provedení tahač v jízdní soupravě typu </w:t>
      </w:r>
      <w:r w:rsidR="009A58CD">
        <w:t xml:space="preserve">FL pro přepravu </w:t>
      </w:r>
      <w:r w:rsidR="005F1A95">
        <w:t>hořlav</w:t>
      </w:r>
      <w:r w:rsidR="009A58CD">
        <w:t>ých kapalin</w:t>
      </w:r>
      <w:r w:rsidR="007C25CB">
        <w:t xml:space="preserve"> </w:t>
      </w:r>
      <w:r w:rsidR="00655501">
        <w:t>T</w:t>
      </w:r>
      <w:r w:rsidR="007C25CB">
        <w:t>řídy 3</w:t>
      </w:r>
      <w:r w:rsidR="00655501">
        <w:t xml:space="preserve"> </w:t>
      </w:r>
      <w:r w:rsidR="009A58CD">
        <w:t xml:space="preserve">v cisternách. </w:t>
      </w:r>
      <w:r w:rsidR="007C25CB">
        <w:t>Výstroj a v</w:t>
      </w:r>
      <w:r w:rsidR="00EE0578">
        <w:t>ýbava tahačů</w:t>
      </w:r>
      <w:r w:rsidR="00130263">
        <w:t xml:space="preserve"> odpovídající těmto podmínkám je</w:t>
      </w:r>
      <w:r w:rsidR="00027A42">
        <w:t xml:space="preserve"> nedílnou</w:t>
      </w:r>
      <w:r w:rsidR="00130263">
        <w:t xml:space="preserve"> součástí dodávky. </w:t>
      </w:r>
    </w:p>
    <w:p w14:paraId="1206148F" w14:textId="77777777" w:rsidR="00CB350A" w:rsidRDefault="005B0750" w:rsidP="001409AB">
      <w:pPr>
        <w:ind w:firstLine="708"/>
        <w:jc w:val="both"/>
      </w:pPr>
      <w:r>
        <w:t xml:space="preserve">Provedení vozidel dle </w:t>
      </w:r>
      <w:r w:rsidR="00CB350A">
        <w:t>z</w:t>
      </w:r>
      <w:r>
        <w:t>ákona č. 56/2001 Sb.</w:t>
      </w:r>
      <w:r w:rsidR="00CB350A">
        <w:t>, o podmínkách provozu vozidel na pozemních komunikacích</w:t>
      </w:r>
      <w:r>
        <w:t xml:space="preserve"> v platném znění, t</w:t>
      </w:r>
      <w:r w:rsidR="00130263">
        <w:t xml:space="preserve">ypové schválení a všechny </w:t>
      </w:r>
      <w:r w:rsidR="007C25CB">
        <w:t xml:space="preserve">další </w:t>
      </w:r>
      <w:r w:rsidR="00130263">
        <w:t>potřebné certifikáty a osvědčení pro</w:t>
      </w:r>
      <w:r w:rsidR="007C25CB">
        <w:t xml:space="preserve"> uvedení do</w:t>
      </w:r>
      <w:r w:rsidR="00130263">
        <w:t xml:space="preserve"> provoz</w:t>
      </w:r>
      <w:r w:rsidR="007C25CB">
        <w:t>u</w:t>
      </w:r>
      <w:r w:rsidR="00130263">
        <w:t xml:space="preserve"> v ČR </w:t>
      </w:r>
      <w:r w:rsidR="007C25CB">
        <w:t xml:space="preserve">a EU </w:t>
      </w:r>
      <w:r w:rsidR="00130263">
        <w:t>dle</w:t>
      </w:r>
      <w:r w:rsidR="000E0AAF">
        <w:t xml:space="preserve"> veškeré</w:t>
      </w:r>
      <w:r w:rsidR="00130263">
        <w:t xml:space="preserve"> platné legislativy</w:t>
      </w:r>
      <w:r>
        <w:t xml:space="preserve"> ČR a EU, </w:t>
      </w:r>
      <w:r w:rsidR="00130263">
        <w:t>jsou</w:t>
      </w:r>
      <w:r w:rsidR="00027A42">
        <w:t xml:space="preserve"> nedílnou</w:t>
      </w:r>
      <w:r w:rsidR="00130263">
        <w:t xml:space="preserve"> součástí dodávky</w:t>
      </w:r>
      <w:r w:rsidR="00130263" w:rsidRPr="00163B3F">
        <w:t>.</w:t>
      </w:r>
      <w:r w:rsidR="00B9485F" w:rsidRPr="00163B3F">
        <w:t xml:space="preserve"> </w:t>
      </w:r>
      <w:r w:rsidR="00CB350A">
        <w:t xml:space="preserve">Nedílnou součástí výbavy bude </w:t>
      </w:r>
      <w:r w:rsidR="00B9485F" w:rsidRPr="00163B3F">
        <w:t>FMS sběrnice</w:t>
      </w:r>
      <w:r w:rsidR="00163B3F">
        <w:t xml:space="preserve"> pro montáž GPS modulu při dlouhodobém používání.</w:t>
      </w:r>
      <w:r w:rsidR="003F5ADC">
        <w:t xml:space="preserve"> </w:t>
      </w:r>
    </w:p>
    <w:p w14:paraId="2C39039D" w14:textId="77777777" w:rsidR="003F17B5" w:rsidRDefault="003F17B5" w:rsidP="003F17B5">
      <w:pPr>
        <w:jc w:val="both"/>
      </w:pPr>
    </w:p>
    <w:p w14:paraId="0E4F6175" w14:textId="1A578FEC" w:rsidR="007F3A5B" w:rsidRDefault="0058142D" w:rsidP="003F17B5">
      <w:pPr>
        <w:jc w:val="both"/>
      </w:pPr>
      <w:r w:rsidRPr="003F17B5">
        <w:rPr>
          <w:b/>
          <w:bCs/>
        </w:rPr>
        <w:t>Vozidlo</w:t>
      </w:r>
      <w:r>
        <w:t xml:space="preserve"> – tahač</w:t>
      </w:r>
      <w:r w:rsidR="003F5ADC">
        <w:t xml:space="preserve"> bude provozován v cisternové soupravě o celkové hmotnosti 45 tun.</w:t>
      </w:r>
    </w:p>
    <w:p w14:paraId="165A7F20" w14:textId="24B3FF09" w:rsidR="000C08AF" w:rsidRDefault="000C08AF" w:rsidP="003F17B5">
      <w:pPr>
        <w:jc w:val="both"/>
      </w:pPr>
      <w:r>
        <w:t>Roční projezd průměrně 130</w:t>
      </w:r>
      <w:r w:rsidR="003F17B5">
        <w:t>.</w:t>
      </w:r>
      <w:r>
        <w:t>000 km</w:t>
      </w:r>
      <w:r w:rsidR="003F17B5">
        <w:t xml:space="preserve"> </w:t>
      </w:r>
      <w:r>
        <w:t>/</w:t>
      </w:r>
      <w:r w:rsidR="003F17B5">
        <w:t xml:space="preserve"> </w:t>
      </w:r>
      <w:r>
        <w:t>tahač, flotilové vyhodnocení projezdu</w:t>
      </w:r>
    </w:p>
    <w:p w14:paraId="28CBBC41" w14:textId="77777777" w:rsidR="005F699D" w:rsidRDefault="005F699D" w:rsidP="006E686C"/>
    <w:p w14:paraId="2B01C3FC" w14:textId="5FB1D89C" w:rsidR="009657AB" w:rsidRDefault="009657AB" w:rsidP="00290673">
      <w:pPr>
        <w:spacing w:after="60"/>
      </w:pPr>
      <w:r>
        <w:t>Počet:</w:t>
      </w:r>
      <w:r>
        <w:tab/>
      </w:r>
      <w:r w:rsidR="003410E4">
        <w:tab/>
      </w:r>
      <w:r w:rsidR="003410E4">
        <w:tab/>
      </w:r>
      <w:r w:rsidR="000A2380">
        <w:tab/>
      </w:r>
      <w:r w:rsidR="001768DE">
        <w:t>8</w:t>
      </w:r>
      <w:r w:rsidR="005B418B">
        <w:t xml:space="preserve"> </w:t>
      </w:r>
      <w:r w:rsidR="00F06A79">
        <w:t>x</w:t>
      </w:r>
      <w:r w:rsidR="00290673">
        <w:t xml:space="preserve"> tahač</w:t>
      </w:r>
      <w:r w:rsidR="005F1A95">
        <w:t xml:space="preserve"> bez</w:t>
      </w:r>
      <w:r>
        <w:t xml:space="preserve"> hydraulického čerpadla</w:t>
      </w:r>
    </w:p>
    <w:p w14:paraId="7DC86120" w14:textId="59480E72" w:rsidR="00F06A79" w:rsidRDefault="00F06A79" w:rsidP="00290673">
      <w:pPr>
        <w:spacing w:after="60"/>
      </w:pPr>
      <w:r>
        <w:tab/>
      </w:r>
      <w:r>
        <w:tab/>
      </w:r>
      <w:r>
        <w:tab/>
      </w:r>
      <w:r>
        <w:tab/>
      </w:r>
    </w:p>
    <w:p w14:paraId="0B430CE1" w14:textId="77777777" w:rsidR="00346972" w:rsidRDefault="007F7478" w:rsidP="009657AB">
      <w:pPr>
        <w:spacing w:after="60"/>
      </w:pPr>
      <w:r>
        <w:tab/>
      </w:r>
      <w:r>
        <w:tab/>
      </w:r>
      <w:r>
        <w:tab/>
      </w:r>
      <w:r>
        <w:tab/>
      </w:r>
      <w:r w:rsidR="005F699D">
        <w:t>Provedení a p</w:t>
      </w:r>
      <w:r w:rsidR="00346972">
        <w:t>očet náprav:</w:t>
      </w:r>
      <w:r w:rsidR="00F6384C">
        <w:tab/>
        <w:t>4 x 2</w:t>
      </w:r>
    </w:p>
    <w:p w14:paraId="2651B7C8" w14:textId="77777777" w:rsidR="000462C8" w:rsidRDefault="000462C8" w:rsidP="009657AB">
      <w:pPr>
        <w:spacing w:after="60"/>
      </w:pPr>
      <w:r>
        <w:t>Hmotnost jízdní soupravy</w:t>
      </w:r>
      <w:r>
        <w:tab/>
      </w:r>
      <w:r w:rsidR="007C529E">
        <w:t xml:space="preserve">celková hmotnost </w:t>
      </w:r>
      <w:r>
        <w:t>45 tun</w:t>
      </w:r>
    </w:p>
    <w:p w14:paraId="2804354C" w14:textId="77777777" w:rsidR="00346972" w:rsidRDefault="00346972" w:rsidP="009657AB">
      <w:pPr>
        <w:spacing w:after="60"/>
      </w:pPr>
      <w:r>
        <w:t>Motor:</w:t>
      </w:r>
      <w:r w:rsidR="00D26DD8">
        <w:tab/>
      </w:r>
      <w:r w:rsidR="00D26DD8">
        <w:tab/>
      </w:r>
      <w:r w:rsidR="00D26DD8">
        <w:tab/>
      </w:r>
      <w:r w:rsidR="00D26DD8">
        <w:tab/>
      </w:r>
      <w:r w:rsidR="0004404D">
        <w:t xml:space="preserve">minimálně </w:t>
      </w:r>
      <w:r w:rsidR="00F6384C" w:rsidRPr="00576655">
        <w:t>4</w:t>
      </w:r>
      <w:r w:rsidR="000C08AF">
        <w:t>5</w:t>
      </w:r>
      <w:r w:rsidR="0067790C" w:rsidRPr="00576655">
        <w:t>0</w:t>
      </w:r>
      <w:r w:rsidR="00271716">
        <w:t xml:space="preserve"> HP</w:t>
      </w:r>
    </w:p>
    <w:p w14:paraId="447D5C95" w14:textId="1755ABE0" w:rsidR="000C08AF" w:rsidRDefault="000C08AF" w:rsidP="009657AB">
      <w:pPr>
        <w:spacing w:after="60"/>
      </w:pPr>
      <w:r>
        <w:t>Zdvihový objem</w:t>
      </w:r>
      <w:r>
        <w:tab/>
      </w:r>
      <w:r>
        <w:tab/>
        <w:t>minimálně 1</w:t>
      </w:r>
      <w:r w:rsidR="002673ED">
        <w:t>1</w:t>
      </w:r>
      <w:r w:rsidR="003F17B5">
        <w:t>.</w:t>
      </w:r>
      <w:r>
        <w:t>000 ccm</w:t>
      </w:r>
    </w:p>
    <w:p w14:paraId="18558DE8" w14:textId="77777777" w:rsidR="009657AB" w:rsidRDefault="00346972" w:rsidP="009657AB">
      <w:pPr>
        <w:spacing w:after="60"/>
      </w:pPr>
      <w:r>
        <w:t>Emisní limit:</w:t>
      </w:r>
      <w:r w:rsidR="00F6384C">
        <w:tab/>
      </w:r>
      <w:r w:rsidR="00F6384C">
        <w:tab/>
      </w:r>
      <w:r w:rsidR="00F6384C">
        <w:tab/>
      </w:r>
      <w:r w:rsidR="00F06A79">
        <w:t>Euro 6</w:t>
      </w:r>
    </w:p>
    <w:p w14:paraId="2531C597" w14:textId="2A1349C5" w:rsidR="000D566E" w:rsidRDefault="000D566E" w:rsidP="002830EA">
      <w:pPr>
        <w:spacing w:after="60"/>
        <w:ind w:left="2832" w:hanging="2832"/>
      </w:pPr>
      <w:r>
        <w:t>Palivová nádrž:</w:t>
      </w:r>
      <w:r w:rsidR="00F6384C">
        <w:tab/>
      </w:r>
      <w:r w:rsidR="00B26AA5">
        <w:t>300–450</w:t>
      </w:r>
      <w:r w:rsidR="00F6384C">
        <w:t xml:space="preserve"> litrů</w:t>
      </w:r>
      <w:r w:rsidR="009657AB">
        <w:t>, uzamykatelná</w:t>
      </w:r>
      <w:r w:rsidR="002830EA">
        <w:t xml:space="preserve">, hrdlo vybaveno ochranou (košem do hrdla) </w:t>
      </w:r>
    </w:p>
    <w:p w14:paraId="0175F033" w14:textId="77777777" w:rsidR="00E2331A" w:rsidRDefault="00E2331A" w:rsidP="002830EA">
      <w:pPr>
        <w:spacing w:after="60"/>
        <w:ind w:left="2832" w:hanging="2832"/>
      </w:pPr>
      <w:r>
        <w:t xml:space="preserve">Nádrž na </w:t>
      </w:r>
      <w:proofErr w:type="spellStart"/>
      <w:r>
        <w:t>AdBlue</w:t>
      </w:r>
      <w:proofErr w:type="spellEnd"/>
      <w:r>
        <w:tab/>
      </w:r>
      <w:r w:rsidR="002C7CDE">
        <w:t>min. 60</w:t>
      </w:r>
      <w:r>
        <w:t xml:space="preserve"> litrů</w:t>
      </w:r>
    </w:p>
    <w:p w14:paraId="248C8CCD" w14:textId="77777777" w:rsidR="00346972" w:rsidRDefault="00346972" w:rsidP="009657AB">
      <w:pPr>
        <w:spacing w:after="60"/>
      </w:pPr>
      <w:r>
        <w:t>Převodovka:</w:t>
      </w:r>
      <w:r w:rsidR="007E42A7">
        <w:tab/>
      </w:r>
      <w:r w:rsidR="007E42A7">
        <w:tab/>
      </w:r>
      <w:r w:rsidR="007E42A7">
        <w:tab/>
        <w:t>automaticky řazená</w:t>
      </w:r>
      <w:r w:rsidR="002830EA">
        <w:t>,</w:t>
      </w:r>
      <w:r w:rsidR="007E42A7">
        <w:t xml:space="preserve"> s možností řidičova zásahu do řazení</w:t>
      </w:r>
    </w:p>
    <w:p w14:paraId="3F0257C3" w14:textId="77777777" w:rsidR="007D0E5B" w:rsidRDefault="007D0E5B" w:rsidP="009657AB">
      <w:pPr>
        <w:spacing w:after="60"/>
      </w:pPr>
      <w:r>
        <w:t>Brzdy:</w:t>
      </w:r>
      <w:r>
        <w:tab/>
      </w:r>
      <w:r>
        <w:tab/>
      </w:r>
      <w:r>
        <w:tab/>
      </w:r>
      <w:r>
        <w:tab/>
        <w:t>ve specifikaci na celkovou hmotnost jízdní soupravy 45 tun</w:t>
      </w:r>
    </w:p>
    <w:p w14:paraId="57ED9729" w14:textId="77777777" w:rsidR="001477F6" w:rsidRDefault="009657AB" w:rsidP="009657AB">
      <w:pPr>
        <w:spacing w:after="60"/>
      </w:pPr>
      <w:r w:rsidRPr="006A4123">
        <w:t>Odlehčovací brzda</w:t>
      </w:r>
      <w:r w:rsidRPr="006A4123">
        <w:tab/>
      </w:r>
      <w:r w:rsidR="001477F6" w:rsidRPr="006A4123">
        <w:tab/>
      </w:r>
      <w:r w:rsidRPr="006A4123">
        <w:t>v provedení dle EHK 13, Příloha 5, Test IIA, min. na 44 tun</w:t>
      </w:r>
      <w:r w:rsidR="002830EA">
        <w:t>,</w:t>
      </w:r>
    </w:p>
    <w:p w14:paraId="50CCF4C8" w14:textId="77777777" w:rsidR="000451FD" w:rsidRPr="006A4123" w:rsidRDefault="000451FD" w:rsidP="009657AB">
      <w:pPr>
        <w:spacing w:after="60"/>
      </w:pPr>
      <w:r>
        <w:tab/>
      </w:r>
      <w:r>
        <w:tab/>
      </w:r>
      <w:r>
        <w:tab/>
      </w:r>
      <w:r>
        <w:tab/>
      </w:r>
      <w:r w:rsidR="003F5ADC">
        <w:t>r</w:t>
      </w:r>
      <w:r w:rsidRPr="002830EA">
        <w:t>etardér</w:t>
      </w:r>
      <w:r w:rsidR="003F5ADC">
        <w:t xml:space="preserve"> nebo </w:t>
      </w:r>
      <w:proofErr w:type="spellStart"/>
      <w:r w:rsidR="003F5ADC">
        <w:t>intardér</w:t>
      </w:r>
      <w:proofErr w:type="spellEnd"/>
    </w:p>
    <w:p w14:paraId="61D78448" w14:textId="77777777" w:rsidR="003410E4" w:rsidRDefault="003410E4" w:rsidP="009657AB">
      <w:pPr>
        <w:spacing w:after="60"/>
      </w:pPr>
      <w:r>
        <w:t>Omezovač rychlosti:</w:t>
      </w:r>
      <w:r>
        <w:tab/>
      </w:r>
      <w:r>
        <w:tab/>
        <w:t>nastavení na 80 km/h</w:t>
      </w:r>
      <w:r w:rsidR="005F699D">
        <w:t xml:space="preserve"> u všech </w:t>
      </w:r>
      <w:r w:rsidR="005F699D" w:rsidRPr="002830EA">
        <w:t>tahačů</w:t>
      </w:r>
      <w:r w:rsidR="000451FD" w:rsidRPr="002830EA">
        <w:t xml:space="preserve">, </w:t>
      </w:r>
      <w:r w:rsidR="000C08AF">
        <w:t xml:space="preserve">prediktivní </w:t>
      </w:r>
      <w:r w:rsidR="000451FD" w:rsidRPr="002830EA">
        <w:t>tempomat</w:t>
      </w:r>
    </w:p>
    <w:p w14:paraId="23FAA004" w14:textId="77777777" w:rsidR="00316A6E" w:rsidRDefault="00316A6E" w:rsidP="009657AB">
      <w:pPr>
        <w:spacing w:after="60"/>
      </w:pPr>
      <w:r>
        <w:t>FMS sběrnice</w:t>
      </w:r>
      <w:r w:rsidR="00290673">
        <w:t>:</w:t>
      </w:r>
      <w:r>
        <w:tab/>
      </w:r>
      <w:r>
        <w:tab/>
      </w:r>
      <w:r>
        <w:tab/>
      </w:r>
      <w:r w:rsidR="00C8166A">
        <w:t xml:space="preserve">bude montován </w:t>
      </w:r>
      <w:r w:rsidR="008D5992">
        <w:t xml:space="preserve">monitorovací </w:t>
      </w:r>
      <w:r w:rsidR="00C8166A">
        <w:t>systém</w:t>
      </w:r>
      <w:r>
        <w:t xml:space="preserve"> GPS</w:t>
      </w:r>
      <w:r w:rsidR="00C8166A">
        <w:t xml:space="preserve"> na FMS sběrnici</w:t>
      </w:r>
    </w:p>
    <w:p w14:paraId="60D97578" w14:textId="77777777" w:rsidR="00346972" w:rsidRDefault="00346972" w:rsidP="009657AB">
      <w:pPr>
        <w:spacing w:after="60"/>
        <w:ind w:left="2832" w:hanging="2832"/>
      </w:pPr>
      <w:r>
        <w:t>Točnice:</w:t>
      </w:r>
      <w:r w:rsidR="00F6384C">
        <w:tab/>
      </w:r>
      <w:r w:rsidR="005F699D">
        <w:t xml:space="preserve">JOST, </w:t>
      </w:r>
      <w:r w:rsidR="002E48D1">
        <w:t xml:space="preserve">královský čep návěsu 2“, </w:t>
      </w:r>
      <w:r w:rsidR="005F699D">
        <w:t xml:space="preserve">příčná plošina </w:t>
      </w:r>
      <w:r w:rsidR="003F5ADC">
        <w:t>přístupná zprava</w:t>
      </w:r>
      <w:r w:rsidR="005F699D">
        <w:t xml:space="preserve"> k zásuvkám návěsu</w:t>
      </w:r>
      <w:r w:rsidR="002E48D1">
        <w:t>, osvětlení tohoto prostoru.</w:t>
      </w:r>
    </w:p>
    <w:p w14:paraId="117C6965" w14:textId="30385049" w:rsidR="00346972" w:rsidRDefault="00346972" w:rsidP="009657AB">
      <w:pPr>
        <w:spacing w:after="60"/>
      </w:pPr>
      <w:r>
        <w:t>Výška točnice:</w:t>
      </w:r>
      <w:r w:rsidR="00F6384C">
        <w:tab/>
      </w:r>
      <w:r w:rsidR="00F6384C">
        <w:tab/>
        <w:t>1</w:t>
      </w:r>
      <w:r w:rsidR="003F17B5">
        <w:t>.</w:t>
      </w:r>
      <w:r w:rsidR="00F6384C">
        <w:t>180 mm</w:t>
      </w:r>
    </w:p>
    <w:p w14:paraId="6CE3F146" w14:textId="284BBDD5" w:rsidR="007F7478" w:rsidRDefault="007F7478" w:rsidP="009657AB">
      <w:pPr>
        <w:spacing w:after="60"/>
      </w:pPr>
      <w:r>
        <w:t>Výška kabiny:</w:t>
      </w:r>
      <w:r>
        <w:tab/>
      </w:r>
      <w:r>
        <w:tab/>
      </w:r>
      <w:r>
        <w:tab/>
      </w:r>
      <w:r w:rsidR="00576655">
        <w:t>max. 3</w:t>
      </w:r>
      <w:r w:rsidR="003F17B5">
        <w:t>.</w:t>
      </w:r>
      <w:r w:rsidR="00416FF4">
        <w:t>600</w:t>
      </w:r>
      <w:r w:rsidR="00576655">
        <w:t xml:space="preserve"> mm</w:t>
      </w:r>
    </w:p>
    <w:p w14:paraId="7FAC035C" w14:textId="77777777" w:rsidR="00E213E3" w:rsidRDefault="00E213E3" w:rsidP="009657AB">
      <w:pPr>
        <w:spacing w:after="60"/>
        <w:ind w:left="2832" w:hanging="2832"/>
      </w:pPr>
      <w:r>
        <w:lastRenderedPageBreak/>
        <w:t>Připojení:</w:t>
      </w:r>
      <w:r>
        <w:tab/>
      </w:r>
      <w:r w:rsidR="00F6384C">
        <w:t>hadice tlakového vzduchu, kabel s 15 pólovou zástrčkou</w:t>
      </w:r>
      <w:r w:rsidR="00A435C1">
        <w:t xml:space="preserve">, zapojení dle ADR, minimální průřez vodičů pro napájení elektronického systému </w:t>
      </w:r>
      <w:r w:rsidR="00422CD6">
        <w:t xml:space="preserve">BARTEC v </w:t>
      </w:r>
      <w:r w:rsidR="00A435C1">
        <w:t>návěsu</w:t>
      </w:r>
      <w:r w:rsidR="007F7478">
        <w:t xml:space="preserve"> je</w:t>
      </w:r>
      <w:r w:rsidR="00A435C1">
        <w:t xml:space="preserve"> 2,5 mm2</w:t>
      </w:r>
      <w:r w:rsidR="00F6384C">
        <w:t xml:space="preserve">, kabel </w:t>
      </w:r>
      <w:r w:rsidR="003410E4">
        <w:t>A</w:t>
      </w:r>
      <w:r w:rsidR="00F6384C">
        <w:t>BS/EBS</w:t>
      </w:r>
      <w:r w:rsidR="008D5992">
        <w:t>. Do 15 pólové zástrčky budou připojeny vodiče pro přenos sledování SPD snímačů CN do</w:t>
      </w:r>
      <w:r w:rsidR="0004404D">
        <w:t xml:space="preserve"> systému</w:t>
      </w:r>
      <w:r w:rsidR="008D5992">
        <w:t xml:space="preserve"> GPS</w:t>
      </w:r>
      <w:r w:rsidR="0004404D">
        <w:t xml:space="preserve"> tahače (není součástí dodávky tahače)</w:t>
      </w:r>
    </w:p>
    <w:p w14:paraId="0509E739" w14:textId="77777777" w:rsidR="002C7CDE" w:rsidRDefault="002C7CDE" w:rsidP="009657AB">
      <w:pPr>
        <w:spacing w:after="60"/>
        <w:ind w:left="2832" w:hanging="2832"/>
      </w:pPr>
    </w:p>
    <w:p w14:paraId="7EFE4043" w14:textId="77777777" w:rsidR="001477F6" w:rsidRDefault="001477F6" w:rsidP="009657AB">
      <w:pPr>
        <w:spacing w:after="60"/>
        <w:ind w:left="2832" w:hanging="2832"/>
      </w:pPr>
      <w:r>
        <w:t>Disky kol:</w:t>
      </w:r>
      <w:r>
        <w:tab/>
      </w:r>
      <w:r w:rsidR="006D4803">
        <w:t>ocelové</w:t>
      </w:r>
    </w:p>
    <w:p w14:paraId="7AF4485E" w14:textId="77777777" w:rsidR="005F699D" w:rsidRDefault="00346972" w:rsidP="009657AB">
      <w:pPr>
        <w:spacing w:after="60"/>
        <w:ind w:left="2832" w:hanging="2832"/>
      </w:pPr>
      <w:r>
        <w:t>Pneumatiky:</w:t>
      </w:r>
      <w:r w:rsidR="00F6384C">
        <w:tab/>
      </w:r>
      <w:r w:rsidR="00F6384C" w:rsidRPr="002830EA">
        <w:t>315/70 R 22,5;</w:t>
      </w:r>
      <w:r w:rsidR="003410E4" w:rsidRPr="002830EA">
        <w:t xml:space="preserve"> na přední nápravě</w:t>
      </w:r>
      <w:r w:rsidR="003410E4" w:rsidRPr="0067790C">
        <w:t xml:space="preserve"> vodicí </w:t>
      </w:r>
      <w:proofErr w:type="gramStart"/>
      <w:r w:rsidR="003410E4" w:rsidRPr="0067790C">
        <w:t>dezén</w:t>
      </w:r>
      <w:proofErr w:type="gramEnd"/>
      <w:r w:rsidR="003410E4" w:rsidRPr="0067790C">
        <w:t>,</w:t>
      </w:r>
      <w:r w:rsidR="00F6384C" w:rsidRPr="0067790C">
        <w:t xml:space="preserve"> na hnací nápravě regionální provedení</w:t>
      </w:r>
      <w:r w:rsidR="005F699D" w:rsidRPr="0067790C">
        <w:t xml:space="preserve"> </w:t>
      </w:r>
      <w:r w:rsidR="005F699D" w:rsidRPr="002830EA">
        <w:t>pneumatik</w:t>
      </w:r>
    </w:p>
    <w:p w14:paraId="08892C12" w14:textId="77777777" w:rsidR="005F699D" w:rsidRDefault="000451FD" w:rsidP="009657AB">
      <w:pPr>
        <w:spacing w:after="60"/>
        <w:ind w:left="2832" w:hanging="2832"/>
      </w:pPr>
      <w:r>
        <w:t>Rezervní kolo:</w:t>
      </w:r>
      <w:r>
        <w:tab/>
        <w:t>ano</w:t>
      </w:r>
    </w:p>
    <w:p w14:paraId="116C7400" w14:textId="77777777" w:rsidR="00566CB1" w:rsidRPr="00AB149B" w:rsidRDefault="00566CB1" w:rsidP="00DD76C2">
      <w:pPr>
        <w:spacing w:after="60"/>
        <w:ind w:left="2832" w:hanging="2832"/>
        <w:jc w:val="both"/>
      </w:pPr>
      <w:r>
        <w:t>Provedení kabiny řidiče:</w:t>
      </w:r>
      <w:r w:rsidR="00F6384C">
        <w:tab/>
      </w:r>
      <w:r w:rsidR="00F06A79">
        <w:t>tahače budou provozovány s cisternovými návěsy</w:t>
      </w:r>
      <w:r w:rsidR="00550AF5">
        <w:t xml:space="preserve"> ADR LGBF</w:t>
      </w:r>
      <w:r w:rsidR="00F06A79">
        <w:t xml:space="preserve">, provedení </w:t>
      </w:r>
      <w:r w:rsidR="00DF6561" w:rsidRPr="00AB149B">
        <w:t xml:space="preserve">bez aerodynamických prvků pro plachtová a skříňová vozidla, minimálně </w:t>
      </w:r>
      <w:r w:rsidR="000451FD" w:rsidRPr="00AB149B">
        <w:t>jedno plnohodnotné lůžko</w:t>
      </w:r>
      <w:r w:rsidR="00DF6561" w:rsidRPr="00AB149B">
        <w:t>, úložné prostory pro dokumenty vozidla</w:t>
      </w:r>
      <w:r w:rsidR="000451FD" w:rsidRPr="00AB149B">
        <w:t>, nastavitelné sedadlo řidiče vzduchově odpružené</w:t>
      </w:r>
      <w:r w:rsidR="00CF3131" w:rsidRPr="00AB149B">
        <w:t xml:space="preserve"> </w:t>
      </w:r>
    </w:p>
    <w:p w14:paraId="08AAE617" w14:textId="77777777" w:rsidR="00566CB1" w:rsidRPr="00AB149B" w:rsidRDefault="00566CB1" w:rsidP="009657AB">
      <w:pPr>
        <w:spacing w:after="60"/>
      </w:pPr>
      <w:r w:rsidRPr="00AB149B">
        <w:t>Odpružení kabiny:</w:t>
      </w:r>
      <w:r w:rsidR="00F6384C" w:rsidRPr="00AB149B">
        <w:tab/>
      </w:r>
      <w:r w:rsidR="00F6384C" w:rsidRPr="00AB149B">
        <w:tab/>
        <w:t>pneumatické</w:t>
      </w:r>
    </w:p>
    <w:p w14:paraId="1F49BBC7" w14:textId="77777777" w:rsidR="009657AB" w:rsidRPr="00AB149B" w:rsidRDefault="00566CB1" w:rsidP="009657AB">
      <w:pPr>
        <w:spacing w:after="60"/>
        <w:ind w:left="2832" w:hanging="2832"/>
      </w:pPr>
      <w:r w:rsidRPr="00AB149B">
        <w:t>Výbava kabiny</w:t>
      </w:r>
      <w:r w:rsidR="00F6384C" w:rsidRPr="00AB149B">
        <w:t>:</w:t>
      </w:r>
      <w:r w:rsidR="00F6384C" w:rsidRPr="00AB149B">
        <w:tab/>
      </w:r>
      <w:r w:rsidR="009657AB" w:rsidRPr="00AB149B">
        <w:t>kromě standardní výbavy kabiny je požadováno:</w:t>
      </w:r>
    </w:p>
    <w:p w14:paraId="6AB57657" w14:textId="1173EB3C" w:rsidR="00566CB1" w:rsidRDefault="008D3972" w:rsidP="00E20E13">
      <w:pPr>
        <w:spacing w:after="60"/>
        <w:ind w:left="2832"/>
        <w:jc w:val="both"/>
      </w:pPr>
      <w:r w:rsidRPr="00AB149B">
        <w:t xml:space="preserve">Tachograf </w:t>
      </w:r>
      <w:r w:rsidR="00C9165B">
        <w:t xml:space="preserve">Smart </w:t>
      </w:r>
      <w:proofErr w:type="spellStart"/>
      <w:r w:rsidR="00C9165B">
        <w:t>Tacho</w:t>
      </w:r>
      <w:proofErr w:type="spellEnd"/>
      <w:r w:rsidR="00C9165B">
        <w:t xml:space="preserve"> 2 </w:t>
      </w:r>
      <w:r w:rsidRPr="00AB149B">
        <w:t xml:space="preserve">podporující pravidlo 1 minuty (požadavek č.40 ES) č.1360/2002 a podporující stažení karty i stažení paměti </w:t>
      </w:r>
      <w:proofErr w:type="spellStart"/>
      <w:r w:rsidRPr="00AB149B">
        <w:t>dig</w:t>
      </w:r>
      <w:proofErr w:type="spellEnd"/>
      <w:r w:rsidRPr="00AB149B">
        <w:t>. tachografu bez vložené karty podniku</w:t>
      </w:r>
      <w:r w:rsidR="00CB350A" w:rsidRPr="00AB149B">
        <w:t xml:space="preserve"> – </w:t>
      </w:r>
      <w:r w:rsidR="00E20E13" w:rsidRPr="00AB149B">
        <w:t>je požadován</w:t>
      </w:r>
      <w:r w:rsidR="00576655" w:rsidRPr="00AB149B">
        <w:t xml:space="preserve"> </w:t>
      </w:r>
      <w:r w:rsidR="00416FF4">
        <w:t xml:space="preserve"> inteligentní digitální tachograf typu Siemens dle nařízení ES č.165/2014</w:t>
      </w:r>
      <w:r w:rsidR="00E20E13" w:rsidRPr="00AB149B">
        <w:t>, a</w:t>
      </w:r>
      <w:r w:rsidR="00CF3131" w:rsidRPr="00AB149B">
        <w:t xml:space="preserve">utomatická </w:t>
      </w:r>
      <w:r w:rsidR="00F6384C" w:rsidRPr="00AB149B">
        <w:t>klimatizace, nezávislé topení</w:t>
      </w:r>
      <w:r w:rsidR="009657AB" w:rsidRPr="00AB149B">
        <w:t xml:space="preserve"> v souladu s</w:t>
      </w:r>
      <w:r w:rsidR="00CB350A" w:rsidRPr="00AB149B">
        <w:t xml:space="preserve"> požadavky dle Dohody </w:t>
      </w:r>
      <w:r w:rsidR="009657AB" w:rsidRPr="00AB149B">
        <w:t>ADR</w:t>
      </w:r>
      <w:r w:rsidR="00F6384C" w:rsidRPr="00AB149B">
        <w:t xml:space="preserve">, </w:t>
      </w:r>
      <w:r w:rsidR="00CF3131" w:rsidRPr="00AB149B">
        <w:t xml:space="preserve">elektricky nastavitelná a vyhřívaná hlavní zpětná zrcátka, </w:t>
      </w:r>
      <w:r w:rsidR="00F6384C" w:rsidRPr="00AB149B">
        <w:t xml:space="preserve">přední zpětné zrcátko pro „mrtvý“ prostor vpředu před kabinou, </w:t>
      </w:r>
      <w:r w:rsidR="003410E4" w:rsidRPr="00AB149B">
        <w:t>rádio, zvukový alarm zpětného chodu, zvukový alarm neaktivované ruční brzdy při opuštění vozidla,</w:t>
      </w:r>
      <w:r w:rsidR="00CF3131" w:rsidRPr="00AB149B">
        <w:t xml:space="preserve"> indikace zapnutí bezpečnostních pásů řidiče,</w:t>
      </w:r>
      <w:r w:rsidR="003410E4" w:rsidRPr="00AB149B">
        <w:t xml:space="preserve"> elektrické stahování bočních</w:t>
      </w:r>
      <w:r w:rsidR="003410E4">
        <w:t xml:space="preserve"> oken,</w:t>
      </w:r>
      <w:r w:rsidR="00B9485F">
        <w:t xml:space="preserve"> lednice,</w:t>
      </w:r>
      <w:r w:rsidR="0067790C">
        <w:t xml:space="preserve"> ovládání zvedací nápravy návěsu z kabiny tahače,</w:t>
      </w:r>
      <w:r w:rsidR="00F6384C">
        <w:t xml:space="preserve"> </w:t>
      </w:r>
      <w:r w:rsidR="00CF3131">
        <w:t>oranžový maják</w:t>
      </w:r>
      <w:r w:rsidR="006D4803">
        <w:t xml:space="preserve">, </w:t>
      </w:r>
      <w:r w:rsidR="00576655">
        <w:t xml:space="preserve">sluneční clona, </w:t>
      </w:r>
      <w:r w:rsidR="006D4803">
        <w:t>centrální zamykání</w:t>
      </w:r>
      <w:r w:rsidR="00E20E13">
        <w:t xml:space="preserve"> na dálkové ovládání</w:t>
      </w:r>
      <w:r w:rsidR="003956CC">
        <w:t>, handsfree</w:t>
      </w:r>
      <w:r w:rsidR="003A5B2C">
        <w:t>,</w:t>
      </w:r>
      <w:r w:rsidR="007D4083">
        <w:t xml:space="preserve"> odkládací prostory přístupné </w:t>
      </w:r>
      <w:r w:rsidR="00E5762F">
        <w:t>z</w:t>
      </w:r>
      <w:r w:rsidR="0017044E">
        <w:t> </w:t>
      </w:r>
      <w:r w:rsidR="00E5762F">
        <w:t>obou stran</w:t>
      </w:r>
      <w:r w:rsidR="0017044E">
        <w:t xml:space="preserve"> vně kabiny</w:t>
      </w:r>
    </w:p>
    <w:p w14:paraId="4E89D886" w14:textId="77777777" w:rsidR="00566CB1" w:rsidRDefault="00566CB1" w:rsidP="009657AB">
      <w:pPr>
        <w:spacing w:after="60"/>
      </w:pPr>
      <w:r>
        <w:t>Barva:</w:t>
      </w:r>
      <w:r w:rsidR="00F6384C">
        <w:tab/>
      </w:r>
      <w:r w:rsidR="00F6384C">
        <w:tab/>
      </w:r>
      <w:r w:rsidR="00F6384C">
        <w:tab/>
      </w:r>
      <w:r w:rsidR="00F6384C">
        <w:tab/>
      </w:r>
      <w:r w:rsidR="000C08AF">
        <w:t xml:space="preserve">kabina </w:t>
      </w:r>
      <w:r w:rsidR="0067790C">
        <w:t>bílá, podvozek šedý</w:t>
      </w:r>
      <w:r w:rsidR="008C49E3">
        <w:t>/černý</w:t>
      </w:r>
    </w:p>
    <w:p w14:paraId="7E8C6716" w14:textId="77777777" w:rsidR="00564996" w:rsidRDefault="00564996" w:rsidP="009657AB">
      <w:pPr>
        <w:spacing w:after="60"/>
      </w:pPr>
    </w:p>
    <w:p w14:paraId="3EC59147" w14:textId="28D0B316" w:rsidR="00576655" w:rsidRDefault="005F699D" w:rsidP="00564996">
      <w:pPr>
        <w:spacing w:after="60"/>
        <w:ind w:left="2832" w:hanging="2832"/>
        <w:jc w:val="both"/>
      </w:pPr>
      <w:r>
        <w:t>Projezd pneumatik:</w:t>
      </w:r>
      <w:r>
        <w:tab/>
      </w:r>
      <w:r w:rsidR="00576655" w:rsidRPr="00576655">
        <w:t>Náklady na pneumatiky nekalkulovat, nájemce</w:t>
      </w:r>
      <w:r w:rsidR="00576655">
        <w:t xml:space="preserve"> si zajistí pneumatiky pro provoz ve vlastní režii</w:t>
      </w:r>
    </w:p>
    <w:p w14:paraId="39E2FBA7" w14:textId="77777777" w:rsidR="00564996" w:rsidRDefault="00564996" w:rsidP="00564996">
      <w:pPr>
        <w:spacing w:after="60"/>
        <w:ind w:left="2832" w:hanging="2832"/>
        <w:jc w:val="both"/>
      </w:pPr>
    </w:p>
    <w:p w14:paraId="3C63386B" w14:textId="77777777" w:rsidR="00566CB1" w:rsidRDefault="00566CB1" w:rsidP="00C7092D">
      <w:pPr>
        <w:spacing w:after="60"/>
        <w:ind w:left="2832" w:hanging="2832"/>
        <w:jc w:val="both"/>
      </w:pPr>
      <w:r w:rsidRPr="00221CD9">
        <w:t>Místo dodání:</w:t>
      </w:r>
      <w:r w:rsidR="00F6384C" w:rsidRPr="00221CD9">
        <w:tab/>
      </w:r>
      <w:r w:rsidRPr="00221CD9">
        <w:t>Česká republika</w:t>
      </w:r>
      <w:r w:rsidR="00221CD9">
        <w:t>,</w:t>
      </w:r>
      <w:r w:rsidR="009657AB" w:rsidRPr="00221CD9">
        <w:t xml:space="preserve"> </w:t>
      </w:r>
      <w:r w:rsidR="00C7092D">
        <w:t>konkrétní místo definuje dodavatel ve smlouvě.</w:t>
      </w:r>
    </w:p>
    <w:p w14:paraId="457842BA" w14:textId="77777777" w:rsidR="009B5ECE" w:rsidRDefault="009B5ECE" w:rsidP="00C7092D">
      <w:pPr>
        <w:spacing w:after="60"/>
        <w:ind w:left="2832" w:hanging="2832"/>
        <w:jc w:val="both"/>
      </w:pPr>
    </w:p>
    <w:sectPr w:rsidR="009B5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0658"/>
    <w:multiLevelType w:val="hybridMultilevel"/>
    <w:tmpl w:val="3B989508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" w15:restartNumberingAfterBreak="0">
    <w:nsid w:val="1D712107"/>
    <w:multiLevelType w:val="hybridMultilevel"/>
    <w:tmpl w:val="6E8ED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94995"/>
    <w:multiLevelType w:val="hybridMultilevel"/>
    <w:tmpl w:val="546AC7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0374043">
    <w:abstractNumId w:val="2"/>
  </w:num>
  <w:num w:numId="2" w16cid:durableId="1032075327">
    <w:abstractNumId w:val="1"/>
  </w:num>
  <w:num w:numId="3" w16cid:durableId="198010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73"/>
    <w:rsid w:val="00025DC7"/>
    <w:rsid w:val="00027A42"/>
    <w:rsid w:val="00035AA9"/>
    <w:rsid w:val="00036FAD"/>
    <w:rsid w:val="0004404D"/>
    <w:rsid w:val="000451FD"/>
    <w:rsid w:val="000462C8"/>
    <w:rsid w:val="000551EE"/>
    <w:rsid w:val="00092357"/>
    <w:rsid w:val="000A2380"/>
    <w:rsid w:val="000C08AF"/>
    <w:rsid w:val="000D566E"/>
    <w:rsid w:val="000E0AAF"/>
    <w:rsid w:val="00125366"/>
    <w:rsid w:val="00130263"/>
    <w:rsid w:val="001325FE"/>
    <w:rsid w:val="001409AB"/>
    <w:rsid w:val="001477F6"/>
    <w:rsid w:val="00163B3F"/>
    <w:rsid w:val="0016526C"/>
    <w:rsid w:val="0017044E"/>
    <w:rsid w:val="00171C50"/>
    <w:rsid w:val="001768DE"/>
    <w:rsid w:val="0020562B"/>
    <w:rsid w:val="00221CD9"/>
    <w:rsid w:val="00254F35"/>
    <w:rsid w:val="002673ED"/>
    <w:rsid w:val="00271716"/>
    <w:rsid w:val="00277DA9"/>
    <w:rsid w:val="002830EA"/>
    <w:rsid w:val="00290673"/>
    <w:rsid w:val="002C7CDE"/>
    <w:rsid w:val="002E48D1"/>
    <w:rsid w:val="00311733"/>
    <w:rsid w:val="00316A6E"/>
    <w:rsid w:val="003410E4"/>
    <w:rsid w:val="00346972"/>
    <w:rsid w:val="00383A3C"/>
    <w:rsid w:val="003956CC"/>
    <w:rsid w:val="003A5B2C"/>
    <w:rsid w:val="003D4901"/>
    <w:rsid w:val="003F0B30"/>
    <w:rsid w:val="003F13A2"/>
    <w:rsid w:val="003F17B5"/>
    <w:rsid w:val="003F5ADC"/>
    <w:rsid w:val="00416FF4"/>
    <w:rsid w:val="00422CD6"/>
    <w:rsid w:val="00424486"/>
    <w:rsid w:val="00437178"/>
    <w:rsid w:val="004C0045"/>
    <w:rsid w:val="004C65E5"/>
    <w:rsid w:val="0050584C"/>
    <w:rsid w:val="00550AF5"/>
    <w:rsid w:val="00564996"/>
    <w:rsid w:val="00566CB1"/>
    <w:rsid w:val="005713F7"/>
    <w:rsid w:val="00574594"/>
    <w:rsid w:val="00576655"/>
    <w:rsid w:val="0058142D"/>
    <w:rsid w:val="005A0964"/>
    <w:rsid w:val="005B043C"/>
    <w:rsid w:val="005B0750"/>
    <w:rsid w:val="005B418B"/>
    <w:rsid w:val="005D42B9"/>
    <w:rsid w:val="005E1D74"/>
    <w:rsid w:val="005E4918"/>
    <w:rsid w:val="005F1A95"/>
    <w:rsid w:val="005F699D"/>
    <w:rsid w:val="00640FBA"/>
    <w:rsid w:val="00645BD1"/>
    <w:rsid w:val="00655501"/>
    <w:rsid w:val="006702C7"/>
    <w:rsid w:val="0067790C"/>
    <w:rsid w:val="006A4123"/>
    <w:rsid w:val="006B5472"/>
    <w:rsid w:val="006D4803"/>
    <w:rsid w:val="006E4899"/>
    <w:rsid w:val="006E5D32"/>
    <w:rsid w:val="006E686C"/>
    <w:rsid w:val="007B21DC"/>
    <w:rsid w:val="007C25CB"/>
    <w:rsid w:val="007C529E"/>
    <w:rsid w:val="007D0E5B"/>
    <w:rsid w:val="007D4083"/>
    <w:rsid w:val="007D6BFF"/>
    <w:rsid w:val="007E42A7"/>
    <w:rsid w:val="007F3A5B"/>
    <w:rsid w:val="007F7478"/>
    <w:rsid w:val="00815139"/>
    <w:rsid w:val="00820BD5"/>
    <w:rsid w:val="008C49E3"/>
    <w:rsid w:val="008D3972"/>
    <w:rsid w:val="008D5992"/>
    <w:rsid w:val="008D6F1F"/>
    <w:rsid w:val="00903437"/>
    <w:rsid w:val="009657AB"/>
    <w:rsid w:val="009731AD"/>
    <w:rsid w:val="009A58CD"/>
    <w:rsid w:val="009B1DBA"/>
    <w:rsid w:val="009B5ECE"/>
    <w:rsid w:val="00A435C1"/>
    <w:rsid w:val="00A64FAC"/>
    <w:rsid w:val="00A8614B"/>
    <w:rsid w:val="00AB149B"/>
    <w:rsid w:val="00B23502"/>
    <w:rsid w:val="00B26AA5"/>
    <w:rsid w:val="00B45D73"/>
    <w:rsid w:val="00B9485F"/>
    <w:rsid w:val="00BE10C9"/>
    <w:rsid w:val="00C23416"/>
    <w:rsid w:val="00C7092D"/>
    <w:rsid w:val="00C8166A"/>
    <w:rsid w:val="00C9165B"/>
    <w:rsid w:val="00CB350A"/>
    <w:rsid w:val="00CE64EB"/>
    <w:rsid w:val="00CF3131"/>
    <w:rsid w:val="00D03228"/>
    <w:rsid w:val="00D26DD8"/>
    <w:rsid w:val="00D35A1B"/>
    <w:rsid w:val="00D42F9B"/>
    <w:rsid w:val="00D5399E"/>
    <w:rsid w:val="00D73931"/>
    <w:rsid w:val="00D81EA2"/>
    <w:rsid w:val="00D8446C"/>
    <w:rsid w:val="00D95DE2"/>
    <w:rsid w:val="00DA0C9B"/>
    <w:rsid w:val="00DC5EAD"/>
    <w:rsid w:val="00DD76C2"/>
    <w:rsid w:val="00DF6561"/>
    <w:rsid w:val="00E20E13"/>
    <w:rsid w:val="00E213E3"/>
    <w:rsid w:val="00E2331A"/>
    <w:rsid w:val="00E572E4"/>
    <w:rsid w:val="00E5762F"/>
    <w:rsid w:val="00EE0578"/>
    <w:rsid w:val="00EE30FE"/>
    <w:rsid w:val="00F04365"/>
    <w:rsid w:val="00F06A79"/>
    <w:rsid w:val="00F14FCF"/>
    <w:rsid w:val="00F6384C"/>
    <w:rsid w:val="00F6392B"/>
    <w:rsid w:val="00F73B8E"/>
    <w:rsid w:val="00FA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C16D9"/>
  <w15:chartTrackingRefBased/>
  <w15:docId w15:val="{B7275437-50C7-4378-8F9B-04AF9655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3A5B"/>
    <w:pPr>
      <w:widowControl w:val="0"/>
      <w:jc w:val="both"/>
    </w:pPr>
    <w:rPr>
      <w:i/>
      <w:sz w:val="22"/>
      <w:szCs w:val="20"/>
      <w:lang w:val="en-GB"/>
    </w:rPr>
  </w:style>
  <w:style w:type="character" w:customStyle="1" w:styleId="ZkladntextChar">
    <w:name w:val="Základní text Char"/>
    <w:link w:val="Zkladntext"/>
    <w:rsid w:val="007F3A5B"/>
    <w:rPr>
      <w:i/>
      <w:sz w:val="22"/>
      <w:lang w:val="en-GB"/>
    </w:rPr>
  </w:style>
  <w:style w:type="paragraph" w:styleId="Textbubliny">
    <w:name w:val="Balloon Text"/>
    <w:basedOn w:val="Normln"/>
    <w:link w:val="TextbublinyChar"/>
    <w:rsid w:val="007D0E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0E5B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D0E5B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0E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0E5B"/>
  </w:style>
  <w:style w:type="paragraph" w:styleId="Pedmtkomente">
    <w:name w:val="annotation subject"/>
    <w:basedOn w:val="Textkomente"/>
    <w:next w:val="Textkomente"/>
    <w:link w:val="PedmtkomenteChar"/>
    <w:rsid w:val="007D0E5B"/>
    <w:rPr>
      <w:b/>
      <w:bCs/>
    </w:rPr>
  </w:style>
  <w:style w:type="character" w:customStyle="1" w:styleId="PedmtkomenteChar">
    <w:name w:val="Předmět komentáře Char"/>
    <w:link w:val="Pedmtkomente"/>
    <w:rsid w:val="007D0E5B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E20E13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20E13"/>
    <w:rPr>
      <w:rFonts w:ascii="Calibri" w:eastAsia="Calibri" w:hAnsi="Calibri"/>
      <w:sz w:val="22"/>
      <w:szCs w:val="21"/>
      <w:lang w:eastAsia="en-US"/>
    </w:rPr>
  </w:style>
  <w:style w:type="paragraph" w:styleId="Revize">
    <w:name w:val="Revision"/>
    <w:hidden/>
    <w:uiPriority w:val="99"/>
    <w:semiHidden/>
    <w:rsid w:val="004371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880CC-1BA2-44D2-BC3B-56AC879B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Petrotrans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</dc:creator>
  <cp:keywords/>
  <cp:lastModifiedBy>Ševčík Pavel</cp:lastModifiedBy>
  <cp:revision>3</cp:revision>
  <cp:lastPrinted>2024-04-05T09:34:00Z</cp:lastPrinted>
  <dcterms:created xsi:type="dcterms:W3CDTF">2025-04-09T10:22:00Z</dcterms:created>
  <dcterms:modified xsi:type="dcterms:W3CDTF">2025-04-20T08:29:00Z</dcterms:modified>
</cp:coreProperties>
</file>